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3A" w:rsidRDefault="0030463A" w:rsidP="0030463A">
      <w:pPr>
        <w:pStyle w:val="2"/>
        <w:jc w:val="center"/>
        <w:rPr>
          <w:sz w:val="36"/>
          <w:szCs w:val="36"/>
        </w:rPr>
      </w:pPr>
      <w:bookmarkStart w:id="0" w:name="_Toc383701793"/>
      <w:bookmarkStart w:id="1" w:name="_Toc398592224"/>
      <w:bookmarkStart w:id="2" w:name="_Toc427057968"/>
      <w:r>
        <w:rPr>
          <w:rFonts w:hint="eastAsia"/>
          <w:sz w:val="36"/>
          <w:szCs w:val="36"/>
        </w:rPr>
        <w:t>电气防火检测、消防设施检测合同书</w:t>
      </w:r>
      <w:bookmarkEnd w:id="0"/>
      <w:bookmarkEnd w:id="1"/>
      <w:bookmarkEnd w:id="2"/>
    </w:p>
    <w:p w:rsidR="0030463A" w:rsidRDefault="0030463A" w:rsidP="0030463A">
      <w:pPr>
        <w:wordWrap w:val="0"/>
        <w:jc w:val="right"/>
        <w:rPr>
          <w:sz w:val="24"/>
        </w:rPr>
      </w:pPr>
      <w:r>
        <w:rPr>
          <w:rFonts w:hint="eastAsia"/>
          <w:sz w:val="24"/>
        </w:rPr>
        <w:t xml:space="preserve">                        </w:t>
      </w:r>
      <w:r w:rsidR="008645FD">
        <w:rPr>
          <w:rFonts w:hint="eastAsia"/>
          <w:sz w:val="24"/>
        </w:rPr>
        <w:t xml:space="preserve">   </w:t>
      </w:r>
      <w:r>
        <w:rPr>
          <w:rFonts w:hint="eastAsia"/>
          <w:sz w:val="24"/>
        </w:rPr>
        <w:t xml:space="preserve">         </w:t>
      </w:r>
    </w:p>
    <w:p w:rsidR="00DE0563"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甲方：</w:t>
      </w:r>
      <w:r w:rsidR="00467FFC">
        <w:rPr>
          <w:rFonts w:ascii="仿宋_GB2312" w:eastAsia="仿宋_GB2312" w:hAnsi="宋体" w:hint="eastAsia"/>
          <w:sz w:val="28"/>
          <w:szCs w:val="28"/>
        </w:rPr>
        <w:t xml:space="preserve"> </w:t>
      </w:r>
      <w:r w:rsidR="00467FFC" w:rsidRPr="00467FFC">
        <w:rPr>
          <w:rFonts w:ascii="仿宋_GB2312" w:eastAsia="仿宋_GB2312" w:hAnsi="宋体" w:hint="eastAsia"/>
          <w:sz w:val="28"/>
          <w:szCs w:val="28"/>
        </w:rPr>
        <w:t>北京光华荣昌汽车部件有限公</w:t>
      </w:r>
      <w:r w:rsidR="00467FFC">
        <w:rPr>
          <w:rFonts w:ascii="仿宋_GB2312" w:eastAsia="仿宋_GB2312" w:hAnsi="宋体" w:hint="eastAsia"/>
          <w:sz w:val="28"/>
          <w:szCs w:val="28"/>
        </w:rPr>
        <w:t xml:space="preserve">      </w:t>
      </w:r>
      <w:r w:rsidRPr="00DE0563">
        <w:rPr>
          <w:rFonts w:ascii="仿宋_GB2312" w:eastAsia="仿宋_GB2312" w:hAnsi="宋体" w:hint="eastAsia"/>
          <w:sz w:val="28"/>
          <w:szCs w:val="28"/>
        </w:rPr>
        <w:t>(以下称“甲方”)</w:t>
      </w:r>
    </w:p>
    <w:p w:rsidR="0030463A"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乙方： 北京博亚盛技术检测有限公司      (以下称“乙方”</w:t>
      </w:r>
      <w:r w:rsidR="00491F00">
        <w:rPr>
          <w:rFonts w:ascii="仿宋_GB2312" w:eastAsia="仿宋_GB2312" w:hAnsi="宋体" w:hint="eastAsia"/>
          <w:sz w:val="28"/>
          <w:szCs w:val="28"/>
        </w:rPr>
        <w:t>)</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为维护甲乙双方的合法权益，根据现行的法律、法规和规章，并结合本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的具体情况，特签订如下合同。</w:t>
      </w:r>
    </w:p>
    <w:p w:rsidR="00DE0563" w:rsidRPr="00DE0563" w:rsidRDefault="00DE0563" w:rsidP="00491F00">
      <w:pPr>
        <w:ind w:firstLineChars="200" w:firstLine="562"/>
        <w:jc w:val="left"/>
        <w:outlineLvl w:val="0"/>
        <w:rPr>
          <w:rFonts w:ascii="仿宋_GB2312" w:eastAsia="仿宋_GB2312" w:hAnsi="宋体"/>
          <w:sz w:val="28"/>
          <w:szCs w:val="28"/>
        </w:rPr>
      </w:pPr>
      <w:r w:rsidRPr="00491F00">
        <w:rPr>
          <w:rFonts w:ascii="仿宋_GB2312" w:eastAsia="仿宋_GB2312" w:hAnsi="宋体" w:hint="eastAsia"/>
          <w:b/>
          <w:sz w:val="28"/>
          <w:szCs w:val="28"/>
        </w:rPr>
        <w:t>一、乙方对甲方委托的以下项目进行检测</w:t>
      </w:r>
    </w:p>
    <w:p w:rsidR="000C72B0"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1、项目名称：</w:t>
      </w:r>
      <w:r w:rsidR="00467FFC" w:rsidRPr="00467FFC">
        <w:rPr>
          <w:rFonts w:ascii="仿宋_GB2312" w:eastAsia="仿宋_GB2312" w:hAnsi="宋体" w:hint="eastAsia"/>
          <w:sz w:val="28"/>
          <w:szCs w:val="28"/>
        </w:rPr>
        <w:t>北京光华荣昌汽车部件有限公司</w:t>
      </w:r>
    </w:p>
    <w:p w:rsidR="0030463A" w:rsidRPr="00DE0563"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2、项目地址：</w:t>
      </w:r>
      <w:r w:rsidR="00467FFC" w:rsidRPr="00467FFC">
        <w:rPr>
          <w:rFonts w:ascii="仿宋_GB2312" w:eastAsia="仿宋_GB2312" w:hAnsi="宋体" w:hint="eastAsia"/>
          <w:sz w:val="28"/>
          <w:szCs w:val="28"/>
        </w:rPr>
        <w:t>北京市昌平区流村镇</w:t>
      </w:r>
    </w:p>
    <w:p w:rsidR="0030463A" w:rsidRPr="00467FFC" w:rsidRDefault="0030463A" w:rsidP="00467FFC">
      <w:pPr>
        <w:ind w:firstLineChars="200" w:firstLine="560"/>
        <w:jc w:val="left"/>
        <w:outlineLvl w:val="0"/>
        <w:rPr>
          <w:rFonts w:ascii="仿宋_GB2312" w:eastAsia="仿宋_GB2312" w:hAnsi="宋体"/>
          <w:sz w:val="28"/>
          <w:szCs w:val="28"/>
        </w:rPr>
      </w:pPr>
      <w:r w:rsidRPr="00467FFC">
        <w:rPr>
          <w:rFonts w:ascii="仿宋_GB2312" w:eastAsia="仿宋_GB2312" w:hAnsi="宋体" w:hint="eastAsia"/>
          <w:sz w:val="28"/>
          <w:szCs w:val="28"/>
        </w:rPr>
        <w:t>二、检测项目</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电气防火检测、消防设施检测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1、电气防火检测：□变配电装置□低压配电线路□接地和等电位联结□特殊场所□照明装置和一般低压用电设备；</w:t>
      </w:r>
    </w:p>
    <w:p w:rsidR="00572FFC"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2、消防设施检测</w:t>
      </w:r>
      <w:r w:rsidR="00572FFC" w:rsidRPr="00DE0563">
        <w:rPr>
          <w:rFonts w:ascii="仿宋_GB2312" w:eastAsia="仿宋_GB2312" w:hAnsi="宋体" w:hint="eastAsia"/>
          <w:sz w:val="28"/>
          <w:szCs w:val="28"/>
        </w:rPr>
        <w:t>: □消防供配电设施□火灾自动报警系统□消防给水及消火栓系统□自动喷水灭火系统□水喷雾灭火系统□细水雾灭火系统□固定消防炮灭火系统□泡沫灭火系统□气体灭火系统□干粉灭火系统□防烟排烟系统□消防应急照明和疏散指示标志□消防应急广播系统□消防专用电话系统□防火分隔设施□消防电梯□可燃气体探测报警系统□电气火灾监控系统□消防设备电源监控系统□灭火器□其他系统：</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三、检测依据</w:t>
      </w:r>
    </w:p>
    <w:p w:rsidR="00572FFC"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1、电气防火检测：</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lastRenderedPageBreak/>
        <w:t>□ DB11/065-2010    《电气防火检测技术规程 》</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□BJXF.TB002-2015   《建筑电气防火检测评定规则》</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2、消防设施检测：</w:t>
      </w:r>
    </w:p>
    <w:p w:rsidR="00572FFC" w:rsidRPr="00DE0563" w:rsidRDefault="00572FFC" w:rsidP="00DE0563">
      <w:pPr>
        <w:ind w:firstLine="480"/>
        <w:jc w:val="left"/>
        <w:rPr>
          <w:rFonts w:ascii="仿宋_GB2312" w:eastAsia="仿宋_GB2312" w:hAnsi="宋体"/>
          <w:sz w:val="28"/>
          <w:szCs w:val="28"/>
        </w:rPr>
      </w:pPr>
      <w:bookmarkStart w:id="3" w:name="_Toc383701795"/>
      <w:bookmarkStart w:id="4" w:name="_Toc398592226"/>
      <w:bookmarkStart w:id="5" w:name="_Toc400738872"/>
      <w:bookmarkStart w:id="6" w:name="_Toc400892871"/>
      <w:bookmarkStart w:id="7" w:name="_Toc405674419"/>
      <w:bookmarkStart w:id="8" w:name="_Toc427057970"/>
      <w:r w:rsidRPr="00DE0563">
        <w:rPr>
          <w:rFonts w:ascii="仿宋_GB2312" w:eastAsia="仿宋_GB2312" w:hAnsi="宋体" w:hint="eastAsia"/>
          <w:sz w:val="28"/>
          <w:szCs w:val="28"/>
        </w:rPr>
        <w:t>□ DB 11/1354—2016《建筑消防设施检测评定规程》</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50016-2014   《建筑设计防火规范》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50166-2007   《火灾自动报警系统施工及验收规范》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50219-2014   《水喷雾灭火系统技术规范》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50261-20</w:t>
      </w:r>
      <w:r w:rsidR="00822503" w:rsidRPr="00DE0563">
        <w:rPr>
          <w:rFonts w:ascii="仿宋_GB2312" w:eastAsia="仿宋_GB2312" w:hAnsi="宋体" w:hint="eastAsia"/>
          <w:sz w:val="28"/>
          <w:szCs w:val="28"/>
        </w:rPr>
        <w:t>17</w:t>
      </w:r>
      <w:r w:rsidRPr="00DE0563">
        <w:rPr>
          <w:rFonts w:ascii="仿宋_GB2312" w:eastAsia="仿宋_GB2312" w:hAnsi="宋体" w:hint="eastAsia"/>
          <w:sz w:val="28"/>
          <w:szCs w:val="28"/>
        </w:rPr>
        <w:t xml:space="preserve">   《自动喷水灭火系统施工及验收规范》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50263-2007   《气体灭火系统施工及验收规范》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50281-2006   《泡沫灭火系统施工及验收规范》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50347-2004   《干粉灭火系统设计规范》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50444-2008   《建筑灭火器配置验收及检查规范》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50498-2009   《固定消防炮灭火系统施工及验收规范》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50877-2014  《防火卷帘、防火门、防火窗施工及验收规范》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50898-2013  《细水雾灭火系统技术规范》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50974-2014  《消防给水及消火栓系统技术规范》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1157-2014   《消防技术服务机构设备配备》</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836-2016    《建设工程消防验收评定规则》</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GB50498-2009   《固定消防炮灭火系统施工及验收规范》</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四、工作内容及要求</w:t>
      </w:r>
      <w:bookmarkEnd w:id="3"/>
      <w:bookmarkEnd w:id="4"/>
      <w:bookmarkEnd w:id="5"/>
      <w:bookmarkEnd w:id="6"/>
      <w:bookmarkEnd w:id="7"/>
      <w:bookmarkEnd w:id="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1、乙方对</w:t>
      </w:r>
      <w:r w:rsidR="00467FFC" w:rsidRPr="00467FFC">
        <w:rPr>
          <w:rFonts w:ascii="仿宋_GB2312" w:eastAsia="仿宋_GB2312" w:hAnsi="宋体" w:hint="eastAsia"/>
          <w:sz w:val="28"/>
          <w:szCs w:val="28"/>
        </w:rPr>
        <w:t>北京光华荣昌汽车部件有限公</w:t>
      </w:r>
      <w:r w:rsidRPr="00DE0563">
        <w:rPr>
          <w:rFonts w:ascii="仿宋_GB2312" w:eastAsia="仿宋_GB2312" w:hAnsi="宋体" w:hint="eastAsia"/>
          <w:sz w:val="28"/>
          <w:szCs w:val="28"/>
        </w:rPr>
        <w:t>固定消防设施技术</w:t>
      </w:r>
      <w:r w:rsidRPr="00DE0563">
        <w:rPr>
          <w:rFonts w:ascii="仿宋_GB2312" w:eastAsia="仿宋_GB2312" w:hAnsi="宋体" w:hint="eastAsia"/>
          <w:sz w:val="28"/>
          <w:szCs w:val="28"/>
        </w:rPr>
        <w:lastRenderedPageBreak/>
        <w:t>即时检测，并分别出具该</w:t>
      </w:r>
      <w:r w:rsidR="00DE0563" w:rsidRPr="00DE0563">
        <w:rPr>
          <w:rFonts w:ascii="仿宋_GB2312" w:eastAsia="仿宋_GB2312" w:hAnsi="宋体" w:hint="eastAsia"/>
          <w:sz w:val="28"/>
          <w:szCs w:val="28"/>
        </w:rPr>
        <w:t>项目</w:t>
      </w:r>
      <w:r w:rsidRPr="00DE0563">
        <w:rPr>
          <w:rFonts w:ascii="仿宋_GB2312" w:eastAsia="仿宋_GB2312" w:hAnsi="宋体" w:hint="eastAsia"/>
          <w:sz w:val="28"/>
          <w:szCs w:val="28"/>
        </w:rPr>
        <w:t>消防、电气检测报告。</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2、消防设施检测范围为建筑内的给水灭火系统、火灾自动报警系统及联动设备。</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3、本次电气检测范围为建筑内的配电设备、照明灯具、开关插座和明敷线路等配电设施。</w:t>
      </w:r>
    </w:p>
    <w:p w:rsidR="0030463A" w:rsidRPr="00DE0563" w:rsidRDefault="0030463A" w:rsidP="00467FFC">
      <w:pPr>
        <w:ind w:firstLineChars="400" w:firstLine="1120"/>
        <w:jc w:val="left"/>
        <w:rPr>
          <w:rFonts w:ascii="仿宋_GB2312" w:eastAsia="仿宋_GB2312" w:hAnsi="宋体"/>
          <w:sz w:val="28"/>
          <w:szCs w:val="28"/>
        </w:rPr>
      </w:pPr>
      <w:r w:rsidRPr="00DE0563">
        <w:rPr>
          <w:rFonts w:ascii="仿宋_GB2312" w:eastAsia="仿宋_GB2312" w:hAnsi="宋体" w:hint="eastAsia"/>
          <w:sz w:val="28"/>
          <w:szCs w:val="28"/>
        </w:rPr>
        <w:t>4、乙方以国家现行的消防法规和技术标准、规范为依据进行检测。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5、针对测试的不合格内容，整改</w:t>
      </w:r>
      <w:r w:rsidR="009F2A65" w:rsidRPr="00DE0563">
        <w:rPr>
          <w:rFonts w:ascii="仿宋_GB2312" w:eastAsia="仿宋_GB2312" w:hAnsi="宋体" w:hint="eastAsia"/>
          <w:sz w:val="28"/>
          <w:szCs w:val="28"/>
        </w:rPr>
        <w:t>后需复检</w:t>
      </w:r>
      <w:r w:rsidRPr="00DE0563">
        <w:rPr>
          <w:rFonts w:ascii="仿宋_GB2312" w:eastAsia="仿宋_GB2312" w:hAnsi="宋体" w:hint="eastAsia"/>
          <w:sz w:val="28"/>
          <w:szCs w:val="28"/>
        </w:rPr>
        <w:t>，复检</w:t>
      </w:r>
      <w:r w:rsidR="009F2A65" w:rsidRPr="00DE0563">
        <w:rPr>
          <w:rFonts w:ascii="仿宋_GB2312" w:eastAsia="仿宋_GB2312" w:hAnsi="宋体" w:hint="eastAsia"/>
          <w:sz w:val="28"/>
          <w:szCs w:val="28"/>
        </w:rPr>
        <w:t>费按检测费30%收取</w:t>
      </w:r>
      <w:r w:rsidRPr="00DE0563">
        <w:rPr>
          <w:rFonts w:ascii="仿宋_GB2312" w:eastAsia="仿宋_GB2312" w:hAnsi="宋体" w:hint="eastAsia"/>
          <w:sz w:val="28"/>
          <w:szCs w:val="28"/>
        </w:rPr>
        <w:t>，并提供检测报告。</w:t>
      </w:r>
    </w:p>
    <w:p w:rsidR="0030463A" w:rsidRPr="00491F00" w:rsidRDefault="0030463A" w:rsidP="00491F00">
      <w:pPr>
        <w:ind w:firstLineChars="200" w:firstLine="562"/>
        <w:jc w:val="left"/>
        <w:outlineLvl w:val="0"/>
        <w:rPr>
          <w:rFonts w:ascii="仿宋_GB2312" w:eastAsia="仿宋_GB2312" w:hAnsi="宋体"/>
          <w:b/>
          <w:sz w:val="28"/>
          <w:szCs w:val="28"/>
        </w:rPr>
      </w:pPr>
      <w:bookmarkStart w:id="9" w:name="_Toc383701796"/>
      <w:bookmarkStart w:id="10" w:name="_Toc400738873"/>
      <w:bookmarkStart w:id="11" w:name="_Toc400892872"/>
      <w:bookmarkStart w:id="12" w:name="_Toc405674420"/>
      <w:bookmarkStart w:id="13" w:name="_Toc427057971"/>
      <w:r w:rsidRPr="00491F00">
        <w:rPr>
          <w:rFonts w:ascii="仿宋_GB2312" w:eastAsia="仿宋_GB2312" w:hAnsi="宋体" w:hint="eastAsia"/>
          <w:b/>
          <w:sz w:val="28"/>
          <w:szCs w:val="28"/>
        </w:rPr>
        <w:t>五、甲方责任</w:t>
      </w:r>
      <w:bookmarkEnd w:id="9"/>
      <w:bookmarkEnd w:id="10"/>
      <w:bookmarkEnd w:id="11"/>
      <w:bookmarkEnd w:id="12"/>
      <w:bookmarkEnd w:id="13"/>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1、检测期间，甲方必须派专人进行现场监管，并有权在现场查看、了解、检查作业情况，对此乙方必须予以配合。</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2、负责提供本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的消防设施及电气检测、调试人员进行配合，配合人员应能熟悉操作消防设备和供用电设备。</w:t>
      </w:r>
    </w:p>
    <w:p w:rsidR="0030463A" w:rsidRPr="00DE0563" w:rsidRDefault="0030463A" w:rsidP="00491F00">
      <w:pPr>
        <w:ind w:firstLineChars="200" w:firstLine="562"/>
        <w:jc w:val="left"/>
        <w:outlineLvl w:val="0"/>
        <w:rPr>
          <w:rFonts w:ascii="仿宋_GB2312" w:eastAsia="仿宋_GB2312" w:hAnsi="宋体"/>
          <w:sz w:val="28"/>
          <w:szCs w:val="28"/>
        </w:rPr>
      </w:pPr>
      <w:bookmarkStart w:id="14" w:name="_Toc383701797"/>
      <w:bookmarkStart w:id="15" w:name="_Toc400738874"/>
      <w:bookmarkStart w:id="16" w:name="_Toc400892873"/>
      <w:bookmarkStart w:id="17" w:name="_Toc405674421"/>
      <w:bookmarkStart w:id="18" w:name="_Toc427057972"/>
      <w:r w:rsidRPr="00491F00">
        <w:rPr>
          <w:rFonts w:ascii="仿宋_GB2312" w:eastAsia="仿宋_GB2312" w:hAnsi="宋体" w:hint="eastAsia"/>
          <w:b/>
          <w:sz w:val="28"/>
          <w:szCs w:val="28"/>
        </w:rPr>
        <w:t>六、乙方责任</w:t>
      </w:r>
      <w:bookmarkEnd w:id="14"/>
      <w:bookmarkEnd w:id="15"/>
      <w:bookmarkEnd w:id="16"/>
      <w:bookmarkEnd w:id="17"/>
      <w:bookmarkEnd w:id="1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1、乙方在检测前应向甲方提交检测报价单，经甲方或甲方指定的相关部门审核批准，并签订合同后，乙方方可进行检测。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2、本合同签订前，乙方应向甲方出示《营业执照》及《资质证书》复印件并加盖公司印章。</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3、乙方不得擅自拆、改管线，或实施其他影响建筑结构、危害使用安全，或超过原设计标准的行为。</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4、乙方应当遵守安全操作规程，负责现场的消防安全及保卫</w:t>
      </w:r>
      <w:r w:rsidRPr="00DE0563">
        <w:rPr>
          <w:rFonts w:ascii="仿宋_GB2312" w:eastAsia="仿宋_GB2312" w:hAnsi="宋体" w:hint="eastAsia"/>
          <w:sz w:val="28"/>
          <w:szCs w:val="28"/>
        </w:rPr>
        <w:lastRenderedPageBreak/>
        <w:t>工作，如造成甲方财产损失，由乙方负责赔偿。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5、乙方安排专业的电气消防安全检测人员进行检测。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6、乙方进行检测期间，必须设置安全防护标志，加强作业人员的安全防护，并严格执行安全操作规程，严格按照国家现行的消防、电气法规和技术标准、规范进行操作，同时应妥善保管易燃、易爆、危险物品，并采取相应防范措施，如在施工过程中出现任何安全事故，由乙方承担全部责任和经济损失的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  7、乙方作业完成后，须及时清理作业现场，恢复现场至工作前状态。</w:t>
      </w:r>
    </w:p>
    <w:p w:rsidR="00DE0563" w:rsidRPr="00DE0563" w:rsidRDefault="00491F00" w:rsidP="00491F00">
      <w:pPr>
        <w:ind w:firstLineChars="200" w:firstLine="562"/>
        <w:jc w:val="left"/>
        <w:outlineLvl w:val="0"/>
        <w:rPr>
          <w:rFonts w:ascii="仿宋_GB2312" w:eastAsia="仿宋_GB2312" w:hAnsi="宋体"/>
          <w:sz w:val="28"/>
          <w:szCs w:val="28"/>
        </w:rPr>
      </w:pPr>
      <w:bookmarkStart w:id="19" w:name="_Toc383701798"/>
      <w:bookmarkStart w:id="20" w:name="_Toc400738875"/>
      <w:bookmarkStart w:id="21" w:name="_Toc400892874"/>
      <w:bookmarkStart w:id="22" w:name="_Toc405674422"/>
      <w:bookmarkStart w:id="23" w:name="_Toc427057973"/>
      <w:r w:rsidRPr="00491F00">
        <w:rPr>
          <w:rFonts w:ascii="仿宋_GB2312" w:eastAsia="仿宋_GB2312" w:hAnsi="宋体" w:hint="eastAsia"/>
          <w:b/>
          <w:sz w:val="28"/>
          <w:szCs w:val="28"/>
        </w:rPr>
        <w:t>七</w:t>
      </w:r>
      <w:r w:rsidR="00DE0563" w:rsidRPr="00491F00">
        <w:rPr>
          <w:rFonts w:ascii="仿宋_GB2312" w:eastAsia="仿宋_GB2312" w:hAnsi="宋体" w:hint="eastAsia"/>
          <w:b/>
          <w:sz w:val="28"/>
          <w:szCs w:val="28"/>
        </w:rPr>
        <w:t>、合同金额</w:t>
      </w:r>
    </w:p>
    <w:p w:rsidR="00DE0563" w:rsidRPr="00491F00" w:rsidRDefault="00DE0563" w:rsidP="00491F00">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本合同检测费总金额为人民币：大写：</w:t>
      </w:r>
      <w:r w:rsidR="00467FFC">
        <w:rPr>
          <w:rFonts w:ascii="仿宋_GB2312" w:eastAsia="仿宋_GB2312" w:hAnsi="宋体" w:hint="eastAsia"/>
          <w:sz w:val="28"/>
          <w:szCs w:val="28"/>
          <w:u w:val="single"/>
        </w:rPr>
        <w:t>叁万</w:t>
      </w:r>
      <w:r w:rsidR="00491F00">
        <w:rPr>
          <w:rFonts w:ascii="仿宋_GB2312" w:eastAsia="仿宋_GB2312" w:hAnsi="宋体" w:hint="eastAsia"/>
          <w:sz w:val="28"/>
          <w:szCs w:val="28"/>
          <w:u w:val="single"/>
        </w:rPr>
        <w:t xml:space="preserve">元整 </w:t>
      </w:r>
      <w:r>
        <w:rPr>
          <w:rFonts w:ascii="仿宋_GB2312" w:eastAsia="仿宋_GB2312" w:hAnsi="宋体" w:hint="eastAsia"/>
          <w:sz w:val="28"/>
          <w:szCs w:val="28"/>
          <w:u w:val="single"/>
        </w:rPr>
        <w:t>（小写：￥</w:t>
      </w:r>
      <w:r w:rsidR="00467FFC">
        <w:rPr>
          <w:rFonts w:ascii="仿宋_GB2312" w:eastAsia="仿宋_GB2312" w:hAnsi="宋体" w:hint="eastAsia"/>
          <w:sz w:val="28"/>
          <w:szCs w:val="28"/>
          <w:u w:val="single"/>
        </w:rPr>
        <w:t>30000</w:t>
      </w:r>
      <w:r>
        <w:rPr>
          <w:rFonts w:ascii="仿宋_GB2312" w:eastAsia="仿宋_GB2312" w:hAnsi="宋体" w:hint="eastAsia"/>
          <w:sz w:val="28"/>
          <w:szCs w:val="28"/>
          <w:u w:val="single"/>
        </w:rPr>
        <w:t>）。</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八</w:t>
      </w:r>
      <w:r w:rsidR="00DE0563">
        <w:rPr>
          <w:rFonts w:ascii="仿宋_GB2312" w:eastAsia="仿宋_GB2312" w:hAnsi="宋体" w:hint="eastAsia"/>
          <w:b/>
          <w:sz w:val="28"/>
          <w:szCs w:val="28"/>
        </w:rPr>
        <w:t>、检测工期</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乙方于</w:t>
      </w:r>
      <w:r w:rsidR="00467FFC">
        <w:rPr>
          <w:rFonts w:ascii="仿宋_GB2312" w:eastAsia="仿宋_GB2312" w:hAnsi="宋体" w:hint="eastAsia"/>
          <w:sz w:val="28"/>
          <w:szCs w:val="28"/>
        </w:rPr>
        <w:t>2019</w:t>
      </w:r>
      <w:r>
        <w:rPr>
          <w:rFonts w:ascii="仿宋_GB2312" w:eastAsia="仿宋_GB2312" w:hAnsi="宋体" w:hint="eastAsia"/>
          <w:sz w:val="28"/>
          <w:szCs w:val="28"/>
        </w:rPr>
        <w:t>年</w:t>
      </w:r>
      <w:r w:rsidR="00467FFC">
        <w:rPr>
          <w:rFonts w:ascii="仿宋_GB2312" w:eastAsia="仿宋_GB2312" w:hAnsi="宋体" w:hint="eastAsia"/>
          <w:sz w:val="28"/>
          <w:szCs w:val="28"/>
        </w:rPr>
        <w:t xml:space="preserve"> </w:t>
      </w:r>
      <w:r w:rsidR="00467FFC">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sidR="00467FFC">
        <w:rPr>
          <w:rFonts w:ascii="仿宋_GB2312" w:eastAsia="仿宋_GB2312" w:hAnsi="宋体" w:hint="eastAsia"/>
          <w:sz w:val="28"/>
          <w:szCs w:val="28"/>
          <w:u w:val="single"/>
        </w:rPr>
        <w:t xml:space="preserve">    </w:t>
      </w:r>
      <w:r>
        <w:rPr>
          <w:rFonts w:ascii="仿宋_GB2312" w:eastAsia="仿宋_GB2312" w:hAnsi="宋体" w:hint="eastAsia"/>
          <w:sz w:val="28"/>
          <w:szCs w:val="28"/>
        </w:rPr>
        <w:t>日开始进场进行检测，</w:t>
      </w:r>
      <w:r w:rsidR="00467FFC">
        <w:rPr>
          <w:rFonts w:ascii="仿宋_GB2312" w:eastAsia="仿宋_GB2312" w:hAnsi="宋体" w:hint="eastAsia"/>
          <w:sz w:val="28"/>
          <w:szCs w:val="28"/>
        </w:rPr>
        <w:t>至</w:t>
      </w:r>
      <w:r>
        <w:rPr>
          <w:rFonts w:ascii="仿宋_GB2312" w:eastAsia="仿宋_GB2312" w:hAnsi="宋体" w:hint="eastAsia"/>
          <w:sz w:val="28"/>
          <w:szCs w:val="28"/>
        </w:rPr>
        <w:t>完成所有检测工作。</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九</w:t>
      </w:r>
      <w:r w:rsidR="00DE0563">
        <w:rPr>
          <w:rFonts w:ascii="仿宋_GB2312" w:eastAsia="仿宋_GB2312" w:hAnsi="宋体" w:hint="eastAsia"/>
          <w:b/>
          <w:sz w:val="28"/>
          <w:szCs w:val="28"/>
        </w:rPr>
        <w:t>、付款方式</w:t>
      </w:r>
    </w:p>
    <w:p w:rsidR="00DE0563" w:rsidRDefault="00DE0563" w:rsidP="00DE0563">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乙方完成现场检测工作并出具检测合格报告，甲方收到乙方提供的报告后三个工作日内，甲方向乙方支付检测报酬即人民币：</w:t>
      </w:r>
    </w:p>
    <w:p w:rsidR="00DE0563" w:rsidRDefault="00491F00" w:rsidP="00491F00">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大写：</w:t>
      </w:r>
      <w:r w:rsidR="00467FFC">
        <w:rPr>
          <w:rFonts w:ascii="仿宋_GB2312" w:eastAsia="仿宋_GB2312" w:hAnsi="宋体" w:hint="eastAsia"/>
          <w:sz w:val="28"/>
          <w:szCs w:val="28"/>
          <w:u w:val="single"/>
        </w:rPr>
        <w:t>叁万元整</w:t>
      </w:r>
      <w:r>
        <w:rPr>
          <w:rFonts w:ascii="仿宋_GB2312" w:eastAsia="仿宋_GB2312" w:hAnsi="宋体" w:hint="eastAsia"/>
          <w:sz w:val="28"/>
          <w:szCs w:val="28"/>
          <w:u w:val="single"/>
        </w:rPr>
        <w:t>（小写：￥</w:t>
      </w:r>
      <w:r w:rsidR="00467FFC">
        <w:rPr>
          <w:rFonts w:ascii="仿宋_GB2312" w:eastAsia="仿宋_GB2312" w:hAnsi="宋体" w:hint="eastAsia"/>
          <w:sz w:val="28"/>
          <w:szCs w:val="28"/>
          <w:u w:val="single"/>
        </w:rPr>
        <w:t>30000</w:t>
      </w:r>
      <w:r>
        <w:rPr>
          <w:rFonts w:ascii="仿宋_GB2312" w:eastAsia="仿宋_GB2312" w:hAnsi="宋体" w:hint="eastAsia"/>
          <w:sz w:val="28"/>
          <w:szCs w:val="28"/>
          <w:u w:val="single"/>
        </w:rPr>
        <w:t>）。</w:t>
      </w:r>
    </w:p>
    <w:p w:rsidR="00DE0563" w:rsidRDefault="00DE0563" w:rsidP="00DE0563">
      <w:pPr>
        <w:jc w:val="left"/>
        <w:rPr>
          <w:rFonts w:ascii="仿宋_GB2312" w:eastAsia="仿宋_GB2312" w:hAnsi="宋体"/>
          <w:sz w:val="28"/>
          <w:szCs w:val="28"/>
        </w:rPr>
      </w:pPr>
      <w:r>
        <w:rPr>
          <w:rFonts w:ascii="仿宋_GB2312" w:eastAsia="仿宋_GB2312" w:hAnsi="宋体" w:hint="eastAsia"/>
          <w:sz w:val="28"/>
          <w:szCs w:val="28"/>
        </w:rPr>
        <w:t>乙方收到上述款项后，为甲方出具增值税专用发票。</w:t>
      </w: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十、违约责任</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1、乙方逾期出具检测合格报告，非因甲方责任造成的，每逾期一天，向甲方支付合同总价款的0.05％作为违约金。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lastRenderedPageBreak/>
        <w:t>2、甲方逾期付款的，每逾期一天，向乙方支付应付未付金额的0.05％作为违约金。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3、合同期内双方中如任何一方有其他违约行为的，则违约方应向守约方支付合同总价款的5％作为违约金，若违约金不足以弥补守约方为此遭受的损失的，则违约方应就违约金与守约方遭受损失之间的差额承担赔偿责任。</w:t>
      </w: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十、其它</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1、本合同的订立、效力、解释、履行和争议的解决应受中华人民共和国法律、法规的管辖。</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2、本合同及所有附件的修改，必须经甲乙双方签署书面协议方能生效。</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3、本合同涉及的各具体事项及其未尽事宜，可由双方经协商一致后订立补充协议，该等文件与本合同具有同等的法律效力。</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4、除非特别说明，本合同中所指“本合同”应包括本合同的附件及补充协议；本合同中所指“书面形式”应包括有效邮寄、电子邮件等形式。</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5、由本合同引起的或与解释、执行本合同有关的任何争议，双方应首先通过友好协商解决。协商不能解决，任一方均有权将该等争议提交北京仲裁委员会申请仲裁，仲裁应依据该仲裁委员会当时的仲裁规则进行；仲裁裁决是终局的，对双方都有约束力；仲裁费用应由败诉方承担，除非仲裁裁决另有裁定。</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 xml:space="preserve">6、本合同一式 </w:t>
      </w:r>
      <w:r w:rsidR="00467FFC">
        <w:rPr>
          <w:rFonts w:ascii="仿宋_GB2312" w:eastAsia="仿宋_GB2312" w:hAnsi="宋体" w:hint="eastAsia"/>
          <w:sz w:val="28"/>
          <w:szCs w:val="28"/>
        </w:rPr>
        <w:t>肆</w:t>
      </w:r>
      <w:r>
        <w:rPr>
          <w:rFonts w:ascii="仿宋_GB2312" w:eastAsia="仿宋_GB2312" w:hAnsi="宋体" w:hint="eastAsia"/>
          <w:sz w:val="28"/>
          <w:szCs w:val="28"/>
        </w:rPr>
        <w:t xml:space="preserve"> 份，具有同等的法律效力，甲方执</w:t>
      </w:r>
      <w:r w:rsidR="00467FFC">
        <w:rPr>
          <w:rFonts w:ascii="仿宋_GB2312" w:eastAsia="仿宋_GB2312" w:hAnsi="宋体" w:hint="eastAsia"/>
          <w:sz w:val="28"/>
          <w:szCs w:val="28"/>
        </w:rPr>
        <w:t>贰</w:t>
      </w:r>
      <w:r>
        <w:rPr>
          <w:rFonts w:ascii="仿宋_GB2312" w:eastAsia="仿宋_GB2312" w:hAnsi="宋体" w:hint="eastAsia"/>
          <w:sz w:val="28"/>
          <w:szCs w:val="28"/>
        </w:rPr>
        <w:t>份，乙</w:t>
      </w:r>
      <w:r>
        <w:rPr>
          <w:rFonts w:ascii="仿宋_GB2312" w:eastAsia="仿宋_GB2312" w:hAnsi="宋体" w:hint="eastAsia"/>
          <w:sz w:val="28"/>
          <w:szCs w:val="28"/>
        </w:rPr>
        <w:lastRenderedPageBreak/>
        <w:t>方执</w:t>
      </w:r>
      <w:r w:rsidR="00467FFC">
        <w:rPr>
          <w:rFonts w:ascii="仿宋_GB2312" w:eastAsia="仿宋_GB2312" w:hAnsi="宋体" w:hint="eastAsia"/>
          <w:sz w:val="28"/>
          <w:szCs w:val="28"/>
        </w:rPr>
        <w:t>贰</w:t>
      </w:r>
      <w:r>
        <w:rPr>
          <w:rFonts w:ascii="仿宋_GB2312" w:eastAsia="仿宋_GB2312" w:hAnsi="宋体" w:hint="eastAsia"/>
          <w:sz w:val="28"/>
          <w:szCs w:val="28"/>
        </w:rPr>
        <w:t>份，本合同自双方法定代表人或授权代表签字并加盖单位公章或合同专用章之日起生效。</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7、甲乙双方均按照本条列明的通讯方法进行联系并送达文件，若通过本合同列明方式发送的往来的合同、函件等均视为有效书面形式。若联系方式发生变化，则应及时以书面方式通知对方，否则由变更方承担不利后果。</w:t>
      </w:r>
    </w:p>
    <w:bookmarkEnd w:id="19"/>
    <w:bookmarkEnd w:id="20"/>
    <w:bookmarkEnd w:id="21"/>
    <w:bookmarkEnd w:id="22"/>
    <w:bookmarkEnd w:id="23"/>
    <w:p w:rsidR="0030463A" w:rsidRDefault="0030463A" w:rsidP="0030463A">
      <w:pPr>
        <w:spacing w:line="360" w:lineRule="auto"/>
        <w:rPr>
          <w:sz w:val="24"/>
        </w:rPr>
      </w:pPr>
    </w:p>
    <w:tbl>
      <w:tblPr>
        <w:tblW w:w="9663" w:type="dxa"/>
        <w:jc w:val="center"/>
        <w:tblInd w:w="-318" w:type="dxa"/>
        <w:tblLook w:val="04A0"/>
      </w:tblPr>
      <w:tblGrid>
        <w:gridCol w:w="1844"/>
        <w:gridCol w:w="3013"/>
        <w:gridCol w:w="1806"/>
        <w:gridCol w:w="3000"/>
      </w:tblGrid>
      <w:tr w:rsidR="00852793" w:rsidTr="00852793">
        <w:trPr>
          <w:trHeight w:val="603"/>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甲方（盖章）:</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乙方（盖章）:</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北京博亚盛技术检测有限公司</w:t>
            </w:r>
          </w:p>
        </w:tc>
      </w:tr>
      <w:tr w:rsidR="00852793" w:rsidTr="00852793">
        <w:trPr>
          <w:trHeight w:val="88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w:t>
            </w:r>
          </w:p>
        </w:tc>
      </w:tr>
      <w:tr w:rsidR="00852793" w:rsidTr="00852793">
        <w:trPr>
          <w:trHeight w:val="47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招商银行北京首体支行</w:t>
            </w:r>
          </w:p>
        </w:tc>
      </w:tr>
      <w:tr w:rsidR="00852793" w:rsidTr="00852793">
        <w:trPr>
          <w:trHeight w:val="448"/>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110924634610902</w:t>
            </w:r>
          </w:p>
        </w:tc>
      </w:tr>
      <w:tr w:rsidR="00852793" w:rsidTr="00852793">
        <w:trPr>
          <w:trHeight w:val="1086"/>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单 位 地 址:</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单 位 地址:</w:t>
            </w:r>
          </w:p>
        </w:tc>
        <w:tc>
          <w:tcPr>
            <w:tcW w:w="3000" w:type="dxa"/>
          </w:tcPr>
          <w:p w:rsidR="00852793" w:rsidRDefault="00852793">
            <w:pPr>
              <w:spacing w:line="360" w:lineRule="auto"/>
              <w:rPr>
                <w:rFonts w:ascii="宋体" w:hAnsi="宋体"/>
                <w:kern w:val="2"/>
                <w:sz w:val="24"/>
              </w:rPr>
            </w:pPr>
          </w:p>
        </w:tc>
      </w:tr>
    </w:tbl>
    <w:p w:rsidR="003740EE" w:rsidRPr="0030463A" w:rsidRDefault="008D7CD9" w:rsidP="00852793">
      <w:pPr>
        <w:spacing w:line="360" w:lineRule="auto"/>
      </w:pPr>
    </w:p>
    <w:sectPr w:rsidR="003740EE" w:rsidRPr="0030463A" w:rsidSect="00C94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CD9" w:rsidRDefault="008D7CD9" w:rsidP="00893A49">
      <w:r>
        <w:separator/>
      </w:r>
    </w:p>
  </w:endnote>
  <w:endnote w:type="continuationSeparator" w:id="0">
    <w:p w:rsidR="008D7CD9" w:rsidRDefault="008D7CD9" w:rsidP="00893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CD9" w:rsidRDefault="008D7CD9" w:rsidP="00893A49">
      <w:r>
        <w:separator/>
      </w:r>
    </w:p>
  </w:footnote>
  <w:footnote w:type="continuationSeparator" w:id="0">
    <w:p w:rsidR="008D7CD9" w:rsidRDefault="008D7CD9" w:rsidP="00893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463A"/>
    <w:rsid w:val="00007A10"/>
    <w:rsid w:val="000C72B0"/>
    <w:rsid w:val="001132D2"/>
    <w:rsid w:val="00131355"/>
    <w:rsid w:val="00193E1C"/>
    <w:rsid w:val="002C57B6"/>
    <w:rsid w:val="002E724F"/>
    <w:rsid w:val="0030463A"/>
    <w:rsid w:val="003F76C2"/>
    <w:rsid w:val="00444176"/>
    <w:rsid w:val="00467FFC"/>
    <w:rsid w:val="00491F00"/>
    <w:rsid w:val="004C5295"/>
    <w:rsid w:val="005310ED"/>
    <w:rsid w:val="00572FFC"/>
    <w:rsid w:val="005736B1"/>
    <w:rsid w:val="005871C2"/>
    <w:rsid w:val="005C4233"/>
    <w:rsid w:val="006906D7"/>
    <w:rsid w:val="007F2AC6"/>
    <w:rsid w:val="00822503"/>
    <w:rsid w:val="00852793"/>
    <w:rsid w:val="008645FD"/>
    <w:rsid w:val="00893A49"/>
    <w:rsid w:val="008B5AC6"/>
    <w:rsid w:val="008D7CD9"/>
    <w:rsid w:val="008E610F"/>
    <w:rsid w:val="00911615"/>
    <w:rsid w:val="00912AFC"/>
    <w:rsid w:val="009A548A"/>
    <w:rsid w:val="009F2A65"/>
    <w:rsid w:val="00AB050B"/>
    <w:rsid w:val="00B04B77"/>
    <w:rsid w:val="00C94C22"/>
    <w:rsid w:val="00C95E10"/>
    <w:rsid w:val="00D72D8E"/>
    <w:rsid w:val="00D80869"/>
    <w:rsid w:val="00DE0563"/>
    <w:rsid w:val="00E9590F"/>
    <w:rsid w:val="00EE7F1D"/>
    <w:rsid w:val="00FE68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63A"/>
    <w:pPr>
      <w:widowControl w:val="0"/>
      <w:jc w:val="both"/>
    </w:pPr>
    <w:rPr>
      <w:rFonts w:ascii="Times New Roman" w:eastAsia="宋体" w:hAnsi="Times New Roman" w:cs="Times New Roman"/>
      <w:kern w:val="0"/>
      <w:szCs w:val="24"/>
    </w:rPr>
  </w:style>
  <w:style w:type="paragraph" w:styleId="2">
    <w:name w:val="heading 2"/>
    <w:basedOn w:val="a"/>
    <w:next w:val="a"/>
    <w:link w:val="2Char"/>
    <w:qFormat/>
    <w:rsid w:val="0030463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0463A"/>
    <w:rPr>
      <w:rFonts w:ascii="Cambria" w:eastAsia="宋体" w:hAnsi="Cambria" w:cs="Times New Roman"/>
      <w:b/>
      <w:bCs/>
      <w:kern w:val="0"/>
      <w:sz w:val="32"/>
      <w:szCs w:val="32"/>
    </w:rPr>
  </w:style>
  <w:style w:type="paragraph" w:styleId="a3">
    <w:name w:val="header"/>
    <w:basedOn w:val="a"/>
    <w:link w:val="Char"/>
    <w:uiPriority w:val="99"/>
    <w:unhideWhenUsed/>
    <w:rsid w:val="00893A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A49"/>
    <w:rPr>
      <w:rFonts w:ascii="Times New Roman" w:eastAsia="宋体" w:hAnsi="Times New Roman" w:cs="Times New Roman"/>
      <w:kern w:val="0"/>
      <w:sz w:val="18"/>
      <w:szCs w:val="18"/>
    </w:rPr>
  </w:style>
  <w:style w:type="paragraph" w:styleId="a4">
    <w:name w:val="footer"/>
    <w:basedOn w:val="a"/>
    <w:link w:val="Char0"/>
    <w:uiPriority w:val="99"/>
    <w:unhideWhenUsed/>
    <w:rsid w:val="00893A49"/>
    <w:pPr>
      <w:tabs>
        <w:tab w:val="center" w:pos="4153"/>
        <w:tab w:val="right" w:pos="8306"/>
      </w:tabs>
      <w:snapToGrid w:val="0"/>
      <w:jc w:val="left"/>
    </w:pPr>
    <w:rPr>
      <w:sz w:val="18"/>
      <w:szCs w:val="18"/>
    </w:rPr>
  </w:style>
  <w:style w:type="character" w:customStyle="1" w:styleId="Char0">
    <w:name w:val="页脚 Char"/>
    <w:basedOn w:val="a0"/>
    <w:link w:val="a4"/>
    <w:uiPriority w:val="99"/>
    <w:rsid w:val="00893A49"/>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63A"/>
    <w:pPr>
      <w:widowControl w:val="0"/>
      <w:jc w:val="both"/>
    </w:pPr>
    <w:rPr>
      <w:rFonts w:ascii="Times New Roman" w:eastAsia="宋体" w:hAnsi="Times New Roman" w:cs="Times New Roman"/>
      <w:kern w:val="0"/>
      <w:szCs w:val="24"/>
    </w:rPr>
  </w:style>
  <w:style w:type="paragraph" w:styleId="2">
    <w:name w:val="heading 2"/>
    <w:basedOn w:val="a"/>
    <w:next w:val="a"/>
    <w:link w:val="2Char"/>
    <w:qFormat/>
    <w:rsid w:val="0030463A"/>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0463A"/>
    <w:rPr>
      <w:rFonts w:ascii="Cambria" w:eastAsia="宋体" w:hAnsi="Cambria" w:cs="Times New Roman"/>
      <w:b/>
      <w:bCs/>
      <w:kern w:val="0"/>
      <w:sz w:val="32"/>
      <w:szCs w:val="32"/>
      <w:lang w:val="x-none" w:eastAsia="x-none"/>
    </w:rPr>
  </w:style>
  <w:style w:type="paragraph" w:styleId="a3">
    <w:name w:val="header"/>
    <w:basedOn w:val="a"/>
    <w:link w:val="Char"/>
    <w:uiPriority w:val="99"/>
    <w:unhideWhenUsed/>
    <w:rsid w:val="00893A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A49"/>
    <w:rPr>
      <w:rFonts w:ascii="Times New Roman" w:eastAsia="宋体" w:hAnsi="Times New Roman" w:cs="Times New Roman"/>
      <w:kern w:val="0"/>
      <w:sz w:val="18"/>
      <w:szCs w:val="18"/>
    </w:rPr>
  </w:style>
  <w:style w:type="paragraph" w:styleId="a4">
    <w:name w:val="footer"/>
    <w:basedOn w:val="a"/>
    <w:link w:val="Char0"/>
    <w:uiPriority w:val="99"/>
    <w:unhideWhenUsed/>
    <w:rsid w:val="00893A49"/>
    <w:pPr>
      <w:tabs>
        <w:tab w:val="center" w:pos="4153"/>
        <w:tab w:val="right" w:pos="8306"/>
      </w:tabs>
      <w:snapToGrid w:val="0"/>
      <w:jc w:val="left"/>
    </w:pPr>
    <w:rPr>
      <w:sz w:val="18"/>
      <w:szCs w:val="18"/>
    </w:rPr>
  </w:style>
  <w:style w:type="character" w:customStyle="1" w:styleId="Char0">
    <w:name w:val="页脚 Char"/>
    <w:basedOn w:val="a0"/>
    <w:link w:val="a4"/>
    <w:uiPriority w:val="99"/>
    <w:rsid w:val="00893A49"/>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5903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1F3B7-4263-4C14-9C41-77B92922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ytt</dc:creator>
  <cp:lastModifiedBy>沈鹏</cp:lastModifiedBy>
  <cp:revision>2</cp:revision>
  <cp:lastPrinted>2018-05-21T05:42:00Z</cp:lastPrinted>
  <dcterms:created xsi:type="dcterms:W3CDTF">2019-10-12T13:12:00Z</dcterms:created>
  <dcterms:modified xsi:type="dcterms:W3CDTF">2019-10-12T13:12:00Z</dcterms:modified>
</cp:coreProperties>
</file>