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排污口规范化说明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河北光华荣昌汽车部件有限公司</w:t>
      </w:r>
      <w:r>
        <w:rPr>
          <w:rFonts w:ascii="Times New Roman" w:hAnsi="Times New Roman" w:eastAsia="宋体" w:cs="Times New Roman"/>
          <w:sz w:val="28"/>
          <w:szCs w:val="28"/>
        </w:rPr>
        <w:t>现有年产</w:t>
      </w:r>
      <w:r>
        <w:rPr>
          <w:rFonts w:hint="eastAsia" w:ascii="Times New Roman" w:hAnsi="Times New Roman" w:eastAsia="宋体" w:cs="Times New Roman"/>
          <w:sz w:val="28"/>
          <w:szCs w:val="28"/>
        </w:rPr>
        <w:t>汽车座椅10.8万套、汽车后视镜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</w:rPr>
        <w:t>万套</w:t>
      </w:r>
      <w:r>
        <w:rPr>
          <w:rFonts w:ascii="Times New Roman" w:hAnsi="Times New Roman" w:eastAsia="宋体" w:cs="Times New Roman"/>
          <w:sz w:val="28"/>
          <w:szCs w:val="28"/>
        </w:rPr>
        <w:t>项目，共设置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宋体" w:cs="Times New Roman"/>
          <w:sz w:val="28"/>
          <w:szCs w:val="28"/>
        </w:rPr>
        <w:t>个</w:t>
      </w:r>
      <w:r>
        <w:rPr>
          <w:rFonts w:hint="eastAsia" w:ascii="Times New Roman" w:hAnsi="Times New Roman" w:eastAsia="宋体" w:cs="Times New Roman"/>
          <w:sz w:val="28"/>
          <w:szCs w:val="28"/>
        </w:rPr>
        <w:t>排气筒</w:t>
      </w:r>
      <w:r>
        <w:rPr>
          <w:rFonts w:ascii="Times New Roman" w:hAnsi="Times New Roman" w:eastAsia="宋体" w:cs="Times New Roman"/>
          <w:sz w:val="28"/>
          <w:szCs w:val="28"/>
        </w:rPr>
        <w:t>，具体如下：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</w:t>
      </w:r>
      <w:r>
        <w:rPr>
          <w:rFonts w:hint="eastAsia" w:ascii="Times New Roman" w:hAnsi="Times New Roman" w:eastAsia="宋体" w:cs="Times New Roman"/>
          <w:sz w:val="28"/>
          <w:szCs w:val="28"/>
        </w:rPr>
        <w:t>001~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</w:t>
      </w:r>
      <w:r>
        <w:rPr>
          <w:rFonts w:hint="eastAsia"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09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全厂焊机共设10套布袋除尘器，</w:t>
      </w:r>
      <w:r>
        <w:rPr>
          <w:rFonts w:ascii="Times New Roman" w:hAnsi="Times New Roman" w:eastAsia="宋体" w:cs="Times New Roman"/>
          <w:sz w:val="28"/>
          <w:szCs w:val="28"/>
        </w:rPr>
        <w:t>烟气</w:t>
      </w:r>
      <w:r>
        <w:rPr>
          <w:rFonts w:hint="eastAsia" w:ascii="Times New Roman" w:hAnsi="Times New Roman" w:eastAsia="宋体" w:cs="Times New Roman"/>
          <w:sz w:val="28"/>
          <w:szCs w:val="28"/>
        </w:rPr>
        <w:t>分别</w:t>
      </w:r>
      <w:r>
        <w:rPr>
          <w:rFonts w:ascii="Times New Roman" w:hAnsi="Times New Roman" w:eastAsia="宋体" w:cs="Times New Roman"/>
          <w:sz w:val="28"/>
          <w:szCs w:val="28"/>
        </w:rPr>
        <w:t>经</w:t>
      </w:r>
      <w:r>
        <w:rPr>
          <w:rFonts w:hint="eastAsia" w:ascii="Times New Roman" w:hAnsi="Times New Roman" w:eastAsia="宋体" w:cs="Times New Roman"/>
          <w:sz w:val="28"/>
          <w:szCs w:val="28"/>
        </w:rPr>
        <w:t>10</w:t>
      </w:r>
      <w:r>
        <w:rPr>
          <w:rFonts w:ascii="Times New Roman" w:hAnsi="Times New Roman" w:eastAsia="宋体" w:cs="Times New Roman"/>
          <w:sz w:val="28"/>
          <w:szCs w:val="28"/>
        </w:rPr>
        <w:t>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发泡废气经光氧设施处理，</w:t>
      </w:r>
      <w:r>
        <w:rPr>
          <w:rFonts w:ascii="Times New Roman" w:hAnsi="Times New Roman" w:eastAsia="宋体" w:cs="Times New Roman"/>
          <w:sz w:val="28"/>
          <w:szCs w:val="28"/>
        </w:rPr>
        <w:t>烟气经1根1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发泡废气经光氧设施处理，</w:t>
      </w:r>
      <w:r>
        <w:rPr>
          <w:rFonts w:ascii="Times New Roman" w:hAnsi="Times New Roman" w:eastAsia="宋体" w:cs="Times New Roman"/>
          <w:sz w:val="28"/>
          <w:szCs w:val="28"/>
        </w:rPr>
        <w:t>烟气经1根1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DA013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电泳烘干废气经催化燃烧处理后与电泳光氧设施共用1根排气筒</w:t>
      </w:r>
      <w:r>
        <w:rPr>
          <w:rFonts w:ascii="Times New Roman" w:hAnsi="Times New Roman" w:eastAsia="宋体" w:cs="Times New Roman"/>
          <w:sz w:val="28"/>
          <w:szCs w:val="28"/>
        </w:rPr>
        <w:t>，烟气经1根1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DA014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注塑废气经光氧+活性炭设施处理，烟气</w:t>
      </w:r>
      <w:r>
        <w:rPr>
          <w:rFonts w:ascii="Times New Roman" w:hAnsi="Times New Roman" w:eastAsia="宋体" w:cs="Times New Roman"/>
          <w:sz w:val="28"/>
          <w:szCs w:val="28"/>
        </w:rPr>
        <w:t>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DA015</w:t>
      </w:r>
      <w:r>
        <w:rPr>
          <w:rFonts w:hint="eastAsia" w:ascii="Times New Roman" w:hAnsi="Times New Roman" w:eastAsia="宋体" w:cs="Times New Roman"/>
          <w:sz w:val="28"/>
          <w:szCs w:val="28"/>
        </w:rPr>
        <w:t>：喷漆件预处理烘干炉使用洁净天然气为燃料，烟气</w:t>
      </w:r>
      <w:r>
        <w:rPr>
          <w:rFonts w:ascii="Times New Roman" w:hAnsi="Times New Roman" w:eastAsia="宋体" w:cs="Times New Roman"/>
          <w:sz w:val="28"/>
          <w:szCs w:val="28"/>
        </w:rPr>
        <w:t>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DA016</w:t>
      </w:r>
      <w:r>
        <w:rPr>
          <w:rFonts w:hint="eastAsia" w:ascii="Times New Roman" w:hAnsi="Times New Roman" w:eastAsia="宋体" w:cs="Times New Roman"/>
          <w:sz w:val="28"/>
          <w:szCs w:val="28"/>
        </w:rPr>
        <w:t>：喷漆废气、喷漆烘干废气经RTO处理后，烟气</w:t>
      </w:r>
      <w:r>
        <w:rPr>
          <w:rFonts w:ascii="Times New Roman" w:hAnsi="Times New Roman" w:eastAsia="宋体" w:cs="Times New Roman"/>
          <w:sz w:val="28"/>
          <w:szCs w:val="28"/>
        </w:rPr>
        <w:t>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DA0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 w:val="28"/>
          <w:szCs w:val="28"/>
        </w:rPr>
        <w:t>：喷漆蒸汽锅炉使用洁净天然气为燃料，烟气</w:t>
      </w:r>
      <w:r>
        <w:rPr>
          <w:rFonts w:ascii="Times New Roman" w:hAnsi="Times New Roman" w:eastAsia="宋体" w:cs="Times New Roman"/>
          <w:sz w:val="28"/>
          <w:szCs w:val="28"/>
        </w:rPr>
        <w:t>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米高排气筒排放；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DA0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 w:val="28"/>
          <w:szCs w:val="28"/>
        </w:rPr>
        <w:t>：电泳热水锅炉使用洁净天然气为燃料，烟气</w:t>
      </w:r>
      <w:r>
        <w:rPr>
          <w:rFonts w:ascii="Times New Roman" w:hAnsi="Times New Roman" w:eastAsia="宋体" w:cs="Times New Roman"/>
          <w:sz w:val="28"/>
          <w:szCs w:val="28"/>
        </w:rPr>
        <w:t>经1根1</w:t>
      </w:r>
      <w:r>
        <w:rPr>
          <w:rFonts w:hint="eastAsia" w:ascii="Times New Roman" w:hAnsi="Times New Roman" w:eastAsia="宋体" w:cs="Times New Roman"/>
          <w:sz w:val="28"/>
          <w:szCs w:val="28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米高排气筒排放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河北光华荣昌汽车部件有限公司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2019年0</w:t>
      </w:r>
      <w:r>
        <w:rPr>
          <w:rFonts w:hint="eastAsia" w:ascii="Times New Roman" w:hAnsi="Times New Roman" w:eastAsia="宋体" w:cs="Times New Roman"/>
          <w:sz w:val="28"/>
          <w:szCs w:val="28"/>
        </w:rPr>
        <w:t>8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</w:rPr>
        <w:t>20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1134" w:right="1689" w:bottom="1134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50927"/>
    <w:multiLevelType w:val="singleLevel"/>
    <w:tmpl w:val="FD3509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7406"/>
    <w:rsid w:val="00307406"/>
    <w:rsid w:val="003F09BB"/>
    <w:rsid w:val="006B7295"/>
    <w:rsid w:val="00A4538F"/>
    <w:rsid w:val="00F80D89"/>
    <w:rsid w:val="021059E5"/>
    <w:rsid w:val="15E83FE4"/>
    <w:rsid w:val="1BE42AD7"/>
    <w:rsid w:val="23833796"/>
    <w:rsid w:val="2674677F"/>
    <w:rsid w:val="29617B40"/>
    <w:rsid w:val="2AD91C9A"/>
    <w:rsid w:val="2D4F22C8"/>
    <w:rsid w:val="31247A00"/>
    <w:rsid w:val="322547AF"/>
    <w:rsid w:val="34326769"/>
    <w:rsid w:val="459463D9"/>
    <w:rsid w:val="48436F0D"/>
    <w:rsid w:val="795A6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85ECF"/>
      <w:u w:val="none"/>
    </w:rPr>
  </w:style>
  <w:style w:type="character" w:styleId="9">
    <w:name w:val="Hyperlink"/>
    <w:basedOn w:val="7"/>
    <w:qFormat/>
    <w:uiPriority w:val="0"/>
    <w:rPr>
      <w:color w:val="185ECF"/>
      <w:u w:val="none"/>
    </w:rPr>
  </w:style>
  <w:style w:type="character" w:customStyle="1" w:styleId="10">
    <w:name w:val="shenbao"/>
    <w:basedOn w:val="7"/>
    <w:uiPriority w:val="0"/>
    <w:rPr>
      <w:color w:val="EF6334"/>
    </w:rPr>
  </w:style>
  <w:style w:type="character" w:customStyle="1" w:styleId="11">
    <w:name w:val="chakan"/>
    <w:basedOn w:val="7"/>
    <w:qFormat/>
    <w:uiPriority w:val="0"/>
    <w:rPr>
      <w:color w:val="0064EA"/>
    </w:rPr>
  </w:style>
  <w:style w:type="character" w:customStyle="1" w:styleId="12">
    <w:name w:val="checkbox2"/>
    <w:basedOn w:val="7"/>
    <w:uiPriority w:val="0"/>
  </w:style>
  <w:style w:type="character" w:customStyle="1" w:styleId="13">
    <w:name w:val="checkbox"/>
    <w:basedOn w:val="7"/>
    <w:qFormat/>
    <w:uiPriority w:val="0"/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415</Words>
  <Characters>270</Characters>
  <Lines>2</Lines>
  <Paragraphs>1</Paragraphs>
  <TotalTime>4</TotalTime>
  <ScaleCrop>false</ScaleCrop>
  <LinksUpToDate>false</LinksUpToDate>
  <CharactersWithSpaces>684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2019-09-11T06:52:04Z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