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2571750" cy="1952625"/>
            <wp:effectExtent l="0" t="0" r="0" b="9525"/>
            <wp:docPr id="1" name="图片 1" descr="8a5d35d976a37403ce1f9dadb844c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5d35d976a37403ce1f9dadb844c44"/>
                    <pic:cNvPicPr>
                      <a:picLocks noChangeAspect="1"/>
                    </pic:cNvPicPr>
                  </pic:nvPicPr>
                  <pic:blipFill>
                    <a:blip r:embed="rId4"/>
                    <a:stretch>
                      <a:fillRect/>
                    </a:stretch>
                  </pic:blipFill>
                  <pic:spPr>
                    <a:xfrm>
                      <a:off x="0" y="0"/>
                      <a:ext cx="2571750" cy="1952625"/>
                    </a:xfrm>
                    <a:prstGeom prst="rect">
                      <a:avLst/>
                    </a:prstGeom>
                  </pic:spPr>
                </pic:pic>
              </a:graphicData>
            </a:graphic>
          </wp:inline>
        </w:drawing>
      </w:r>
    </w:p>
    <w:p>
      <w:pPr>
        <w:rPr>
          <w:rFonts w:hint="eastAsia"/>
          <w:sz w:val="28"/>
          <w:szCs w:val="36"/>
          <w:lang w:val="en-US" w:eastAsia="zh-CN"/>
        </w:rPr>
      </w:pPr>
      <w:r>
        <w:rPr>
          <w:rFonts w:hint="eastAsia"/>
          <w:sz w:val="28"/>
          <w:szCs w:val="36"/>
          <w:lang w:val="en-US" w:eastAsia="zh-CN"/>
        </w:rPr>
        <w:t>危险废物，做40*40cm正方形，1块。材质：Pvc</w:t>
      </w:r>
    </w:p>
    <w:p>
      <w:pPr>
        <w:rPr>
          <w:rFonts w:hint="default"/>
          <w:lang w:val="en-US" w:eastAsia="zh-CN"/>
        </w:rPr>
      </w:pPr>
      <w:r>
        <w:rPr>
          <w:rFonts w:hint="default"/>
          <w:lang w:val="en-US" w:eastAsia="zh-CN"/>
        </w:rPr>
        <w:drawing>
          <wp:inline distT="0" distB="0" distL="114300" distR="114300">
            <wp:extent cx="3234690" cy="2426335"/>
            <wp:effectExtent l="0" t="0" r="3810" b="12065"/>
            <wp:docPr id="2" name="图片 2"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
                    <pic:cNvPicPr>
                      <a:picLocks noChangeAspect="1"/>
                    </pic:cNvPicPr>
                  </pic:nvPicPr>
                  <pic:blipFill>
                    <a:blip r:embed="rId5"/>
                    <a:stretch>
                      <a:fillRect/>
                    </a:stretch>
                  </pic:blipFill>
                  <pic:spPr>
                    <a:xfrm>
                      <a:off x="0" y="0"/>
                      <a:ext cx="3234690" cy="2426335"/>
                    </a:xfrm>
                    <a:prstGeom prst="rect">
                      <a:avLst/>
                    </a:prstGeom>
                  </pic:spPr>
                </pic:pic>
              </a:graphicData>
            </a:graphic>
          </wp:inline>
        </w:drawing>
      </w:r>
      <w:bookmarkStart w:id="0" w:name="_GoBack"/>
      <w:bookmarkEnd w:id="0"/>
    </w:p>
    <w:p>
      <w:pPr>
        <w:rPr>
          <w:rFonts w:hint="default"/>
          <w:sz w:val="28"/>
          <w:szCs w:val="36"/>
          <w:lang w:val="en-US" w:eastAsia="zh-CN"/>
        </w:rPr>
      </w:pPr>
      <w:r>
        <w:rPr>
          <w:rFonts w:hint="eastAsia"/>
          <w:sz w:val="28"/>
          <w:szCs w:val="36"/>
          <w:lang w:val="en-US" w:eastAsia="zh-CN"/>
        </w:rPr>
        <w:t>废气排放口做50*35cm长方形，按照图中内容制作，将FQ-06改为FQ-16即可。1块。材质：高清车贴。</w:t>
      </w:r>
    </w:p>
    <w:p>
      <w:pPr>
        <w:rPr>
          <w:rFonts w:hint="eastAsia" w:eastAsiaTheme="minorEastAsia"/>
          <w:lang w:eastAsia="zh-CN"/>
        </w:rPr>
      </w:pPr>
      <w:r>
        <w:drawing>
          <wp:inline distT="0" distB="0" distL="114300" distR="114300">
            <wp:extent cx="1691640" cy="2232025"/>
            <wp:effectExtent l="0" t="0" r="3810"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691640" cy="2232025"/>
                    </a:xfrm>
                    <a:prstGeom prst="rect">
                      <a:avLst/>
                    </a:prstGeom>
                    <a:noFill/>
                    <a:ln>
                      <a:noFill/>
                    </a:ln>
                  </pic:spPr>
                </pic:pic>
              </a:graphicData>
            </a:graphic>
          </wp:inline>
        </w:drawing>
      </w:r>
      <w:r>
        <w:rPr>
          <w:rFonts w:hint="eastAsia" w:eastAsiaTheme="minorEastAsia"/>
          <w:lang w:eastAsia="zh-CN"/>
        </w:rPr>
        <w:drawing>
          <wp:inline distT="0" distB="0" distL="114300" distR="114300">
            <wp:extent cx="1732915" cy="2258695"/>
            <wp:effectExtent l="0" t="0" r="635" b="8255"/>
            <wp:docPr id="4" name="图片 4" descr="7bd12aedc3b13cb93e18ef2b89b6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d12aedc3b13cb93e18ef2b89b691f"/>
                    <pic:cNvPicPr>
                      <a:picLocks noChangeAspect="1"/>
                    </pic:cNvPicPr>
                  </pic:nvPicPr>
                  <pic:blipFill>
                    <a:blip r:embed="rId7"/>
                    <a:stretch>
                      <a:fillRect/>
                    </a:stretch>
                  </pic:blipFill>
                  <pic:spPr>
                    <a:xfrm>
                      <a:off x="0" y="0"/>
                      <a:ext cx="1732915" cy="2258695"/>
                    </a:xfrm>
                    <a:prstGeom prst="rect">
                      <a:avLst/>
                    </a:prstGeom>
                  </pic:spPr>
                </pic:pic>
              </a:graphicData>
            </a:graphic>
          </wp:inline>
        </w:drawing>
      </w:r>
    </w:p>
    <w:p>
      <w:pPr>
        <w:rPr>
          <w:rFonts w:hint="eastAsia" w:eastAsiaTheme="minorEastAsia"/>
          <w:lang w:eastAsia="zh-CN"/>
        </w:rPr>
      </w:pPr>
    </w:p>
    <w:p>
      <w:pPr>
        <w:rPr>
          <w:rFonts w:hint="default" w:eastAsiaTheme="minorEastAsia"/>
          <w:sz w:val="28"/>
          <w:szCs w:val="36"/>
          <w:lang w:val="en-US" w:eastAsia="zh-CN"/>
        </w:rPr>
        <w:sectPr>
          <w:pgSz w:w="11906" w:h="16838"/>
          <w:pgMar w:top="1440" w:right="1800" w:bottom="1440" w:left="1800" w:header="851" w:footer="992" w:gutter="0"/>
          <w:cols w:space="425" w:num="1"/>
          <w:docGrid w:type="lines" w:linePitch="312" w:charSpace="0"/>
        </w:sectPr>
      </w:pPr>
      <w:r>
        <w:rPr>
          <w:rFonts w:hint="eastAsia"/>
          <w:sz w:val="28"/>
          <w:szCs w:val="36"/>
          <w:lang w:eastAsia="zh-CN"/>
        </w:rPr>
        <w:t>各做两块，</w:t>
      </w:r>
      <w:r>
        <w:rPr>
          <w:rFonts w:hint="eastAsia"/>
          <w:sz w:val="28"/>
          <w:szCs w:val="36"/>
          <w:lang w:val="en-US" w:eastAsia="zh-CN"/>
        </w:rPr>
        <w:t xml:space="preserve">70*90cm长方形，材质：kt板。内容如下  </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sz w:val="28"/>
          <w:szCs w:val="36"/>
          <w:lang w:val="en-US" w:eastAsia="zh-CN"/>
        </w:rPr>
      </w:pPr>
      <w:r>
        <w:rPr>
          <w:rFonts w:hint="eastAsia"/>
          <w:sz w:val="28"/>
          <w:szCs w:val="36"/>
          <w:lang w:val="en-US" w:eastAsia="zh-CN"/>
        </w:rPr>
        <w:t>污</w:t>
      </w:r>
      <w:r>
        <w:rPr>
          <w:rFonts w:hint="default"/>
          <w:sz w:val="28"/>
          <w:szCs w:val="36"/>
          <w:lang w:val="en-US" w:eastAsia="zh-CN"/>
        </w:rPr>
        <w:t>染治理没施维修保养制度</w:t>
      </w:r>
    </w:p>
    <w:p>
      <w:pPr>
        <w:keepNext w:val="0"/>
        <w:keepLines w:val="0"/>
        <w:pageBreakBefore w:val="0"/>
        <w:widowControl w:val="0"/>
        <w:kinsoku/>
        <w:wordWrap/>
        <w:overflowPunct/>
        <w:topLinePunct w:val="0"/>
        <w:autoSpaceDE/>
        <w:autoSpaceDN/>
        <w:bidi w:val="0"/>
        <w:adjustRightInd/>
        <w:snapToGrid/>
        <w:textAlignment w:val="auto"/>
        <w:rPr>
          <w:rFonts w:hint="default"/>
          <w:sz w:val="28"/>
          <w:szCs w:val="36"/>
          <w:lang w:val="en-US" w:eastAsia="zh-CN"/>
        </w:rPr>
      </w:pPr>
      <w:r>
        <w:rPr>
          <w:rFonts w:hint="eastAsia"/>
          <w:sz w:val="28"/>
          <w:szCs w:val="36"/>
          <w:lang w:val="en-US" w:eastAsia="zh-CN"/>
        </w:rPr>
        <w:t>一</w:t>
      </w:r>
      <w:r>
        <w:rPr>
          <w:rFonts w:hint="default"/>
          <w:sz w:val="28"/>
          <w:szCs w:val="36"/>
          <w:lang w:val="en-US" w:eastAsia="zh-CN"/>
        </w:rPr>
        <w:t>、目的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建立污染治理设施维护保养制度，使污染治理设施长期稳定运行，确保污染达标排放。</w:t>
      </w:r>
    </w:p>
    <w:p>
      <w:pPr>
        <w:keepNext w:val="0"/>
        <w:keepLines w:val="0"/>
        <w:pageBreakBefore w:val="0"/>
        <w:widowControl w:val="0"/>
        <w:kinsoku/>
        <w:wordWrap/>
        <w:overflowPunct/>
        <w:topLinePunct w:val="0"/>
        <w:autoSpaceDE/>
        <w:autoSpaceDN/>
        <w:bidi w:val="0"/>
        <w:adjustRightInd/>
        <w:snapToGrid/>
        <w:textAlignment w:val="auto"/>
        <w:rPr>
          <w:rFonts w:hint="default"/>
          <w:sz w:val="28"/>
          <w:szCs w:val="36"/>
          <w:lang w:val="en-US" w:eastAsia="zh-CN"/>
        </w:rPr>
      </w:pPr>
      <w:r>
        <w:rPr>
          <w:rFonts w:hint="default"/>
          <w:sz w:val="28"/>
          <w:szCs w:val="36"/>
          <w:lang w:val="en-US" w:eastAsia="zh-CN"/>
        </w:rPr>
        <w:t>二、适用范围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本制度适用于本单位所有污染治理设施。</w:t>
      </w:r>
    </w:p>
    <w:p>
      <w:pPr>
        <w:keepNext w:val="0"/>
        <w:keepLines w:val="0"/>
        <w:pageBreakBefore w:val="0"/>
        <w:widowControl w:val="0"/>
        <w:kinsoku/>
        <w:wordWrap/>
        <w:overflowPunct/>
        <w:topLinePunct w:val="0"/>
        <w:autoSpaceDE/>
        <w:autoSpaceDN/>
        <w:bidi w:val="0"/>
        <w:adjustRightInd/>
        <w:snapToGrid/>
        <w:textAlignment w:val="auto"/>
        <w:rPr>
          <w:rFonts w:hint="default"/>
          <w:sz w:val="28"/>
          <w:szCs w:val="36"/>
          <w:lang w:val="en-US" w:eastAsia="zh-CN"/>
        </w:rPr>
      </w:pPr>
      <w:r>
        <w:rPr>
          <w:rFonts w:hint="default"/>
          <w:sz w:val="28"/>
          <w:szCs w:val="36"/>
          <w:lang w:val="en-US" w:eastAsia="zh-CN"/>
        </w:rPr>
        <w:t>三、责任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本单位负责污染治理设施维护的人员应按时对污染治理设施进行巡检和维护，明确岗位职责不得擅离职守。</w:t>
      </w:r>
    </w:p>
    <w:p>
      <w:pPr>
        <w:keepNext w:val="0"/>
        <w:keepLines w:val="0"/>
        <w:pageBreakBefore w:val="0"/>
        <w:widowControl w:val="0"/>
        <w:kinsoku/>
        <w:wordWrap/>
        <w:overflowPunct/>
        <w:topLinePunct w:val="0"/>
        <w:autoSpaceDE/>
        <w:autoSpaceDN/>
        <w:bidi w:val="0"/>
        <w:adjustRightInd/>
        <w:snapToGrid/>
        <w:textAlignment w:val="auto"/>
        <w:rPr>
          <w:rFonts w:hint="default"/>
          <w:sz w:val="28"/>
          <w:szCs w:val="36"/>
          <w:lang w:val="en-US" w:eastAsia="zh-CN"/>
        </w:rPr>
      </w:pPr>
      <w:r>
        <w:rPr>
          <w:rFonts w:hint="default"/>
          <w:sz w:val="28"/>
          <w:szCs w:val="36"/>
          <w:lang w:val="en-US" w:eastAsia="zh-CN"/>
        </w:rPr>
        <w:t>四、主要内容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1、对本单位污染治理设施进行日常巡检，发现问题及时解决</w:t>
      </w:r>
      <w:r>
        <w:rPr>
          <w:rFonts w:hint="eastAsia"/>
          <w:sz w:val="28"/>
          <w:szCs w:val="36"/>
          <w:lang w:val="en-US" w:eastAsia="zh-CN"/>
        </w:rPr>
        <w:t>。</w:t>
      </w:r>
      <w:r>
        <w:rPr>
          <w:rFonts w:hint="default"/>
          <w:sz w:val="28"/>
          <w:szCs w:val="36"/>
          <w:lang w:val="en-US" w:eastAsia="zh-CN"/>
        </w:rPr>
        <w:t>如不能及时解决及时上报主管领导。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2、单位开车过程做好设备的检查确保开车后污染治理设施运行稳定，停车后做好设施保养和易损件检修和更换。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default"/>
          <w:sz w:val="28"/>
          <w:szCs w:val="36"/>
          <w:lang w:val="en-US" w:eastAsia="zh-CN"/>
        </w:rPr>
        <w:t>3、建立运行维修台账。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rPr>
          <w:rFonts w:hint="default"/>
          <w:sz w:val="28"/>
          <w:szCs w:val="36"/>
          <w:lang w:val="en-US" w:eastAsia="zh-CN"/>
        </w:rPr>
      </w:pPr>
      <w:r>
        <w:rPr>
          <w:rFonts w:hint="default"/>
          <w:sz w:val="28"/>
          <w:szCs w:val="36"/>
          <w:lang w:val="en-US" w:eastAsia="zh-CN"/>
        </w:rPr>
        <w:t>环境新染治理股地管理岗位责任度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为明确环境污染治理设施管理岗位责任，加强本单位污染防治设施的运行管理，充分发挥其效益，保护环境，控制污染，特制定环境污染治理设施管理岗位责任制度。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一、积极参加各级环境保护行政主管部门组织的相关业务培训。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二、认真学习国家和地方有关环境保护法律、法规、规章、标准及规定，必颁了解有关污染防治设施管理的规定。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三、熟悉污染防治设施运行的处理原理、工艺流程。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四、严格遵守污染防治设施操作规程，确保污染防治设施操作运行正常。</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五、发现不能保障污染防治设施正常运行的隐患，及时按照企业规定向公司负责人报告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六、污染防治设施运行过程中要加强运行效果检查，发现异常情况，应及时查找原因，及时解决，自身解决不了的应及时接照企业规定向主要负责人报告。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七、认真建立包括污染防治设施名称、设备使用情况、易损配件更换及运行效果等内容的污染防治设施运行台账，班班都应有记录并保证记录完整、准确，污染防治设施因故停运的也要实事求是的注明原因，不得弄虚作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八、积极配合各级环境保护行政主管部门或者其他依照法律规定行使环境监督管理权的部门的现场检查。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36"/>
          <w:lang w:val="en-US" w:eastAsia="zh-CN"/>
        </w:rPr>
      </w:pPr>
      <w:r>
        <w:rPr>
          <w:rFonts w:hint="default"/>
          <w:sz w:val="28"/>
          <w:szCs w:val="36"/>
          <w:lang w:val="en-US" w:eastAsia="zh-CN"/>
        </w:rPr>
        <w:t>九、对于个人责任履行不到位而造成企业的影响，视情节轻重，分别给予警告、经济处罚或者予以调离岗位甚至解雇。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E36EF"/>
    <w:rsid w:val="3726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2019-11-30T03:13:05Z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