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HBGH-ZS-MJ-264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M50N左/右基板（手动）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M50N左/右基板（手动）右侧滑块生产中卡滞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，开模斜导柱断裂，顶出后推杆与滑块碰撞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，造成右侧大滑块双芯断裂，芯部水路损坏，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需线割扩孔，外委放电加工螺纹，烧焊抛光加工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3268980</wp:posOffset>
                  </wp:positionH>
                  <wp:positionV relativeFrom="paragraph">
                    <wp:posOffset>43815</wp:posOffset>
                  </wp:positionV>
                  <wp:extent cx="1628140" cy="1619250"/>
                  <wp:effectExtent l="0" t="0" r="0" b="0"/>
                  <wp:wrapThrough wrapText="bothSides">
                    <wp:wrapPolygon>
                      <wp:start x="0" y="0"/>
                      <wp:lineTo x="0" y="21346"/>
                      <wp:lineTo x="21229" y="21346"/>
                      <wp:lineTo x="21229" y="0"/>
                      <wp:lineTo x="0" y="0"/>
                    </wp:wrapPolygon>
                  </wp:wrapThrough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1579245</wp:posOffset>
                  </wp:positionH>
                  <wp:positionV relativeFrom="paragraph">
                    <wp:posOffset>59055</wp:posOffset>
                  </wp:positionV>
                  <wp:extent cx="1608455" cy="1609090"/>
                  <wp:effectExtent l="0" t="0" r="10795" b="10160"/>
                  <wp:wrapThrough wrapText="bothSides">
                    <wp:wrapPolygon>
                      <wp:start x="0" y="0"/>
                      <wp:lineTo x="0" y="21225"/>
                      <wp:lineTo x="21233" y="21225"/>
                      <wp:lineTo x="21233" y="0"/>
                      <wp:lineTo x="0" y="0"/>
                    </wp:wrapPolygon>
                  </wp:wrapThrough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53340</wp:posOffset>
                  </wp:positionV>
                  <wp:extent cx="1495425" cy="1615440"/>
                  <wp:effectExtent l="0" t="0" r="0" b="0"/>
                  <wp:wrapThrough wrapText="bothSides">
                    <wp:wrapPolygon>
                      <wp:start x="0" y="0"/>
                      <wp:lineTo x="0" y="21396"/>
                      <wp:lineTo x="21462" y="21396"/>
                      <wp:lineTo x="21462" y="0"/>
                      <wp:lineTo x="0" y="0"/>
                    </wp:wrapPolygon>
                  </wp:wrapThrough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方兴电火花/刘振芳 13582759346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550元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2019.12.12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8937625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100B3F4A"/>
    <w:rsid w:val="13CC1D48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F2424AC"/>
    <w:rsid w:val="63B4651A"/>
    <w:rsid w:val="65CD4D45"/>
    <w:rsid w:val="6924716C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12</TotalTime>
  <ScaleCrop>false</ScaleCrop>
  <LinksUpToDate>false</LinksUpToDate>
  <CharactersWithSpaces>338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2019-12-12T01:05:28Z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