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numPr>
          <w:ilvl w:val="0"/>
          <w:numId w:val="0"/>
        </w:numPr>
        <w:snapToGrid w:val="0"/>
        <w:spacing w:line="360" w:lineRule="auto"/>
        <w:rPr>
          <w:rFonts w:ascii="黑体" w:hAnsi="黑体" w:eastAsia="黑体"/>
          <w:kern w:val="0"/>
          <w:sz w:val="44"/>
          <w:szCs w:val="44"/>
        </w:rPr>
      </w:pPr>
    </w:p>
    <w:p>
      <w:pPr>
        <w:pStyle w:val="18"/>
        <w:numPr>
          <w:ilvl w:val="0"/>
          <w:numId w:val="0"/>
        </w:numPr>
        <w:snapToGrid w:val="0"/>
        <w:spacing w:line="360" w:lineRule="auto"/>
        <w:rPr>
          <w:rFonts w:ascii="黑体" w:hAnsi="黑体" w:eastAsia="黑体"/>
          <w:kern w:val="0"/>
          <w:sz w:val="44"/>
          <w:szCs w:val="44"/>
        </w:rPr>
      </w:pPr>
    </w:p>
    <w:p>
      <w:pPr>
        <w:pStyle w:val="18"/>
        <w:numPr>
          <w:ilvl w:val="0"/>
          <w:numId w:val="0"/>
        </w:numPr>
        <w:snapToGrid w:val="0"/>
        <w:spacing w:line="360" w:lineRule="auto"/>
        <w:rPr>
          <w:rFonts w:ascii="黑体" w:hAnsi="黑体" w:eastAsia="黑体"/>
          <w:kern w:val="0"/>
          <w:sz w:val="44"/>
          <w:szCs w:val="44"/>
        </w:rPr>
      </w:pPr>
    </w:p>
    <w:p>
      <w:pPr>
        <w:pStyle w:val="18"/>
        <w:numPr>
          <w:ilvl w:val="0"/>
          <w:numId w:val="0"/>
        </w:numPr>
        <w:snapToGrid w:val="0"/>
        <w:spacing w:line="360" w:lineRule="auto"/>
        <w:rPr>
          <w:rFonts w:ascii="黑体" w:hAnsi="黑体" w:eastAsia="黑体"/>
          <w:kern w:val="0"/>
          <w:sz w:val="44"/>
          <w:szCs w:val="44"/>
        </w:rPr>
      </w:pPr>
    </w:p>
    <w:p>
      <w:pPr>
        <w:pStyle w:val="18"/>
        <w:numPr>
          <w:ilvl w:val="0"/>
          <w:numId w:val="0"/>
        </w:numPr>
        <w:snapToGrid w:val="0"/>
        <w:spacing w:line="360" w:lineRule="auto"/>
        <w:jc w:val="center"/>
        <w:rPr>
          <w:rFonts w:ascii="黑体" w:hAnsi="黑体" w:eastAsia="黑体"/>
          <w:kern w:val="0"/>
          <w:sz w:val="44"/>
          <w:szCs w:val="44"/>
        </w:rPr>
      </w:pPr>
    </w:p>
    <w:p>
      <w:pPr>
        <w:pStyle w:val="18"/>
        <w:numPr>
          <w:ilvl w:val="0"/>
          <w:numId w:val="0"/>
        </w:numPr>
        <w:snapToGrid w:val="0"/>
        <w:spacing w:line="360" w:lineRule="auto"/>
        <w:jc w:val="center"/>
        <w:rPr>
          <w:rFonts w:ascii="黑体" w:hAnsi="黑体" w:eastAsia="黑体"/>
          <w:kern w:val="0"/>
          <w:sz w:val="44"/>
          <w:szCs w:val="44"/>
        </w:rPr>
      </w:pPr>
      <w:r>
        <w:rPr>
          <w:rFonts w:hint="eastAsia" w:ascii="黑体" w:hAnsi="黑体" w:eastAsia="黑体"/>
          <w:kern w:val="0"/>
          <w:sz w:val="44"/>
          <w:szCs w:val="44"/>
        </w:rPr>
        <w:t>安路普（北京）汽车技术有限公司</w:t>
      </w:r>
      <w:r>
        <w:rPr>
          <w:rFonts w:hint="eastAsia" w:ascii="黑体" w:hAnsi="黑体" w:eastAsia="黑体"/>
          <w:kern w:val="0"/>
          <w:sz w:val="44"/>
          <w:szCs w:val="44"/>
        </w:rPr>
        <w:tab/>
      </w:r>
    </w:p>
    <w:p>
      <w:pPr>
        <w:pStyle w:val="18"/>
        <w:numPr>
          <w:ilvl w:val="0"/>
          <w:numId w:val="0"/>
        </w:numPr>
        <w:snapToGrid w:val="0"/>
        <w:spacing w:line="360" w:lineRule="auto"/>
        <w:jc w:val="center"/>
        <w:rPr>
          <w:rFonts w:ascii="黑体" w:hAnsi="黑体" w:eastAsia="黑体"/>
          <w:kern w:val="0"/>
          <w:sz w:val="44"/>
          <w:szCs w:val="44"/>
        </w:rPr>
      </w:pPr>
      <w:r>
        <w:rPr>
          <w:rFonts w:hint="eastAsia" w:ascii="黑体" w:hAnsi="黑体" w:eastAsia="黑体"/>
          <w:kern w:val="0"/>
          <w:sz w:val="44"/>
          <w:szCs w:val="44"/>
        </w:rPr>
        <w:t>知识产权（专利）服务框架协议</w:t>
      </w:r>
    </w:p>
    <w:p>
      <w:pPr>
        <w:pStyle w:val="18"/>
        <w:numPr>
          <w:ilvl w:val="0"/>
          <w:numId w:val="0"/>
        </w:numPr>
        <w:snapToGrid w:val="0"/>
        <w:spacing w:line="360" w:lineRule="auto"/>
        <w:jc w:val="center"/>
        <w:rPr>
          <w:rFonts w:ascii="黑体" w:hAnsi="黑体" w:eastAsia="黑体"/>
          <w:kern w:val="0"/>
          <w:sz w:val="44"/>
          <w:szCs w:val="44"/>
        </w:rPr>
      </w:pPr>
      <w:r>
        <w:rPr>
          <w:rFonts w:hint="eastAsia" w:ascii="黑体" w:hAnsi="黑体" w:eastAsia="黑体"/>
          <w:kern w:val="0"/>
          <w:sz w:val="44"/>
          <w:szCs w:val="44"/>
        </w:rPr>
        <w:t>（2019-202</w:t>
      </w:r>
      <w:r>
        <w:rPr>
          <w:rFonts w:ascii="黑体" w:hAnsi="黑体" w:eastAsia="黑体"/>
          <w:kern w:val="0"/>
          <w:sz w:val="44"/>
          <w:szCs w:val="44"/>
        </w:rPr>
        <w:t>0</w:t>
      </w:r>
      <w:r>
        <w:rPr>
          <w:rFonts w:hint="eastAsia" w:ascii="黑体" w:hAnsi="黑体" w:eastAsia="黑体"/>
          <w:kern w:val="0"/>
          <w:sz w:val="44"/>
          <w:szCs w:val="44"/>
        </w:rPr>
        <w:t>年）</w:t>
      </w:r>
    </w:p>
    <w:p>
      <w:pPr>
        <w:widowControl/>
        <w:spacing w:line="360" w:lineRule="auto"/>
        <w:jc w:val="left"/>
        <w:rPr>
          <w:rFonts w:ascii="黑体" w:hAnsi="黑体" w:eastAsia="黑体"/>
          <w:kern w:val="0"/>
          <w:sz w:val="44"/>
          <w:szCs w:val="44"/>
        </w:rPr>
      </w:pPr>
      <w:r>
        <w:rPr>
          <w:rFonts w:ascii="黑体" w:hAnsi="黑体" w:eastAsia="黑体"/>
          <w:kern w:val="0"/>
          <w:sz w:val="44"/>
          <w:szCs w:val="44"/>
        </w:rPr>
        <w:br w:type="page"/>
      </w:r>
    </w:p>
    <w:p>
      <w:pPr>
        <w:pStyle w:val="18"/>
        <w:numPr>
          <w:ilvl w:val="0"/>
          <w:numId w:val="0"/>
        </w:numPr>
        <w:snapToGrid w:val="0"/>
        <w:spacing w:line="560" w:lineRule="exact"/>
        <w:rPr>
          <w:b/>
          <w:kern w:val="0"/>
        </w:rPr>
      </w:pPr>
      <w:r>
        <w:rPr>
          <w:b/>
          <w:kern w:val="0"/>
        </w:rPr>
        <w:t>甲方</w:t>
      </w:r>
      <w:r>
        <w:rPr>
          <w:rFonts w:hint="eastAsia"/>
          <w:b/>
          <w:kern w:val="0"/>
        </w:rPr>
        <w:t>：</w:t>
      </w:r>
      <w:r>
        <w:rPr>
          <w:rFonts w:hint="eastAsia"/>
          <w:b/>
          <w:color w:val="212529"/>
          <w:kern w:val="0"/>
        </w:rPr>
        <w:t>安路普（北京）汽车技术有限公司</w:t>
      </w:r>
      <w:r>
        <w:rPr>
          <w:rFonts w:hint="eastAsia"/>
          <w:b/>
          <w:color w:val="212529"/>
          <w:kern w:val="0"/>
        </w:rPr>
        <w:tab/>
      </w:r>
    </w:p>
    <w:p>
      <w:pPr>
        <w:pStyle w:val="18"/>
        <w:numPr>
          <w:ilvl w:val="0"/>
          <w:numId w:val="0"/>
        </w:numPr>
        <w:snapToGrid w:val="0"/>
        <w:spacing w:line="560" w:lineRule="exact"/>
        <w:rPr>
          <w:kern w:val="0"/>
        </w:rPr>
      </w:pPr>
      <w:r>
        <w:rPr>
          <w:rFonts w:hint="eastAsia"/>
          <w:kern w:val="0"/>
        </w:rPr>
        <w:t>地址：</w:t>
      </w:r>
      <w:r>
        <w:rPr>
          <w:rFonts w:hint="eastAsia"/>
          <w:color w:val="000000"/>
          <w:kern w:val="0"/>
        </w:rPr>
        <w:t>北京市海淀区中关村南大街5号683号楼理工科技大厦1321室</w:t>
      </w:r>
      <w:r>
        <w:rPr>
          <w:rFonts w:hint="eastAsia"/>
          <w:kern w:val="0"/>
        </w:rPr>
        <w:t xml:space="preserve"> </w:t>
      </w:r>
      <w:r>
        <w:rPr>
          <w:kern w:val="0"/>
        </w:rPr>
        <w:t xml:space="preserve">   </w:t>
      </w:r>
    </w:p>
    <w:p>
      <w:pPr>
        <w:pStyle w:val="18"/>
        <w:numPr>
          <w:ilvl w:val="0"/>
          <w:numId w:val="0"/>
        </w:numPr>
        <w:snapToGrid w:val="0"/>
        <w:spacing w:line="560" w:lineRule="exact"/>
        <w:rPr>
          <w:kern w:val="0"/>
        </w:rPr>
      </w:pPr>
      <w:r>
        <w:rPr>
          <w:rFonts w:hint="eastAsia"/>
          <w:kern w:val="0"/>
        </w:rPr>
        <w:t>联系人：于曼华</w:t>
      </w:r>
    </w:p>
    <w:p>
      <w:pPr>
        <w:pStyle w:val="18"/>
        <w:numPr>
          <w:ilvl w:val="0"/>
          <w:numId w:val="0"/>
        </w:numPr>
        <w:snapToGrid w:val="0"/>
        <w:spacing w:line="560" w:lineRule="exact"/>
        <w:rPr>
          <w:kern w:val="0"/>
        </w:rPr>
      </w:pPr>
      <w:r>
        <w:rPr>
          <w:rFonts w:hint="eastAsia"/>
          <w:kern w:val="0"/>
        </w:rPr>
        <w:t>电子邮件:</w:t>
      </w:r>
      <w:r>
        <w:t xml:space="preserve"> </w:t>
      </w:r>
      <w:r>
        <w:rPr>
          <w:kern w:val="0"/>
        </w:rPr>
        <w:t>mhyu@airlop.com</w:t>
      </w:r>
    </w:p>
    <w:p>
      <w:pPr>
        <w:pStyle w:val="18"/>
        <w:numPr>
          <w:ilvl w:val="0"/>
          <w:numId w:val="0"/>
        </w:numPr>
        <w:snapToGrid w:val="0"/>
        <w:spacing w:line="560" w:lineRule="exact"/>
        <w:rPr>
          <w:kern w:val="0"/>
        </w:rPr>
      </w:pPr>
      <w:r>
        <w:rPr>
          <w:rFonts w:hint="eastAsia"/>
          <w:kern w:val="0"/>
        </w:rPr>
        <w:t>电话：</w:t>
      </w:r>
      <w:r>
        <w:rPr>
          <w:kern w:val="0"/>
        </w:rPr>
        <w:t>18611572924</w:t>
      </w:r>
    </w:p>
    <w:p>
      <w:pPr>
        <w:pStyle w:val="18"/>
        <w:numPr>
          <w:ilvl w:val="0"/>
          <w:numId w:val="0"/>
        </w:numPr>
        <w:snapToGrid w:val="0"/>
        <w:spacing w:line="560" w:lineRule="exact"/>
        <w:rPr>
          <w:kern w:val="0"/>
        </w:rPr>
      </w:pPr>
    </w:p>
    <w:p>
      <w:pPr>
        <w:pStyle w:val="18"/>
        <w:numPr>
          <w:ilvl w:val="0"/>
          <w:numId w:val="0"/>
        </w:numPr>
        <w:snapToGrid w:val="0"/>
        <w:spacing w:line="560" w:lineRule="exact"/>
        <w:rPr>
          <w:b/>
          <w:kern w:val="0"/>
        </w:rPr>
      </w:pPr>
      <w:r>
        <w:rPr>
          <w:b/>
          <w:kern w:val="0"/>
        </w:rPr>
        <w:t>乙方：</w:t>
      </w:r>
      <w:r>
        <w:fldChar w:fldCharType="begin"/>
      </w:r>
      <w:r>
        <w:instrText xml:space="preserve"> HYPERLINK "https://www.tianyancha.com/company/3267874951" \t "https://www.tianyancha.com/_blank" </w:instrText>
      </w:r>
      <w:r>
        <w:fldChar w:fldCharType="separate"/>
      </w:r>
      <w:r>
        <w:rPr>
          <w:rFonts w:hint="eastAsia"/>
          <w:b/>
          <w:color w:val="212529"/>
          <w:kern w:val="0"/>
        </w:rPr>
        <w:t>北京超凡宏宇专利代理事务所（特殊普通合伙）</w:t>
      </w:r>
      <w:r>
        <w:rPr>
          <w:rFonts w:hint="eastAsia"/>
          <w:b/>
          <w:color w:val="212529"/>
          <w:kern w:val="0"/>
        </w:rPr>
        <w:fldChar w:fldCharType="end"/>
      </w:r>
    </w:p>
    <w:p>
      <w:pPr>
        <w:pStyle w:val="18"/>
        <w:numPr>
          <w:ilvl w:val="0"/>
          <w:numId w:val="0"/>
        </w:numPr>
        <w:snapToGrid w:val="0"/>
        <w:spacing w:line="560" w:lineRule="exact"/>
        <w:rPr>
          <w:kern w:val="0"/>
        </w:rPr>
      </w:pPr>
      <w:r>
        <w:rPr>
          <w:kern w:val="0"/>
        </w:rPr>
        <w:t>地址：</w:t>
      </w:r>
      <w:r>
        <w:rPr>
          <w:rFonts w:hint="eastAsia"/>
          <w:kern w:val="0"/>
        </w:rPr>
        <w:t>北京市海淀区北四环西路68号11层</w:t>
      </w:r>
    </w:p>
    <w:p>
      <w:pPr>
        <w:pStyle w:val="18"/>
        <w:numPr>
          <w:ilvl w:val="0"/>
          <w:numId w:val="0"/>
        </w:numPr>
        <w:snapToGrid w:val="0"/>
        <w:spacing w:line="560" w:lineRule="exact"/>
        <w:rPr>
          <w:kern w:val="0"/>
        </w:rPr>
      </w:pPr>
      <w:r>
        <w:rPr>
          <w:kern w:val="0"/>
        </w:rPr>
        <w:t>电话：</w:t>
      </w:r>
      <w:r>
        <w:rPr>
          <w:rFonts w:hint="eastAsia"/>
          <w:kern w:val="0"/>
        </w:rPr>
        <w:t>010-88389908，13911537050</w:t>
      </w:r>
    </w:p>
    <w:p>
      <w:pPr>
        <w:pStyle w:val="18"/>
        <w:numPr>
          <w:ilvl w:val="0"/>
          <w:numId w:val="0"/>
        </w:numPr>
        <w:snapToGrid w:val="0"/>
        <w:spacing w:line="560" w:lineRule="exact"/>
        <w:rPr>
          <w:kern w:val="0"/>
        </w:rPr>
      </w:pPr>
      <w:r>
        <w:rPr>
          <w:kern w:val="0"/>
        </w:rPr>
        <w:t>联系人：</w:t>
      </w:r>
      <w:r>
        <w:rPr>
          <w:rFonts w:hint="eastAsia"/>
          <w:kern w:val="0"/>
        </w:rPr>
        <w:t>徐彬</w:t>
      </w:r>
    </w:p>
    <w:p>
      <w:pPr>
        <w:pStyle w:val="18"/>
        <w:numPr>
          <w:ilvl w:val="0"/>
          <w:numId w:val="0"/>
        </w:numPr>
        <w:snapToGrid w:val="0"/>
        <w:spacing w:line="560" w:lineRule="exact"/>
        <w:rPr>
          <w:kern w:val="0"/>
        </w:rPr>
      </w:pPr>
      <w:r>
        <w:rPr>
          <w:kern w:val="0"/>
        </w:rPr>
        <w:t>电子邮件：</w:t>
      </w:r>
      <w:r>
        <w:fldChar w:fldCharType="begin"/>
      </w:r>
      <w:r>
        <w:instrText xml:space="preserve"> HYPERLINK "mailto:leo.liu@chofn.com" </w:instrText>
      </w:r>
      <w:r>
        <w:fldChar w:fldCharType="separate"/>
      </w:r>
      <w:r>
        <w:rPr>
          <w:rFonts w:hint="eastAsia"/>
          <w:kern w:val="0"/>
        </w:rPr>
        <w:t>bingo.xu@chofn.com</w:t>
      </w:r>
      <w:r>
        <w:rPr>
          <w:rFonts w:hint="eastAsia"/>
          <w:kern w:val="0"/>
        </w:rPr>
        <w:fldChar w:fldCharType="end"/>
      </w:r>
    </w:p>
    <w:p>
      <w:pPr>
        <w:pStyle w:val="18"/>
        <w:numPr>
          <w:ilvl w:val="0"/>
          <w:numId w:val="0"/>
        </w:numPr>
        <w:snapToGrid w:val="0"/>
        <w:spacing w:line="560" w:lineRule="exact"/>
        <w:rPr>
          <w:kern w:val="0"/>
        </w:rPr>
      </w:pPr>
    </w:p>
    <w:p>
      <w:pPr>
        <w:pStyle w:val="18"/>
        <w:numPr>
          <w:ilvl w:val="0"/>
          <w:numId w:val="0"/>
        </w:numPr>
        <w:snapToGrid w:val="0"/>
        <w:spacing w:line="560" w:lineRule="exact"/>
        <w:rPr>
          <w:kern w:val="0"/>
        </w:rPr>
      </w:pPr>
      <w:r>
        <w:rPr>
          <w:kern w:val="0"/>
        </w:rPr>
        <w:t xml:space="preserve">   </w:t>
      </w:r>
      <w:r>
        <w:rPr>
          <w:rFonts w:hint="eastAsia"/>
        </w:rPr>
        <w:t>根据《中华人民共和国合同法》及其它有关法律法规之规定，经甲乙双方在平等、自愿、协商一致的基础上，本着平等互利的原则，就乙方接受甲方委托为甲方提供本协议约定知识产权代理服务相关事宜签订本合同，以资双方共同遵守</w:t>
      </w:r>
      <w:r>
        <w:rPr>
          <w:kern w:val="0"/>
        </w:rPr>
        <w:t>。</w:t>
      </w:r>
    </w:p>
    <w:p>
      <w:pPr>
        <w:pStyle w:val="18"/>
        <w:numPr>
          <w:ilvl w:val="0"/>
          <w:numId w:val="0"/>
        </w:numPr>
        <w:snapToGrid w:val="0"/>
        <w:spacing w:line="560" w:lineRule="exact"/>
        <w:outlineLvl w:val="0"/>
        <w:rPr>
          <w:b/>
          <w:bCs/>
          <w:kern w:val="0"/>
        </w:rPr>
      </w:pPr>
      <w:r>
        <w:rPr>
          <w:b/>
          <w:kern w:val="0"/>
        </w:rPr>
        <w:t xml:space="preserve">  </w:t>
      </w:r>
      <w:r>
        <w:rPr>
          <w:b/>
          <w:bCs/>
          <w:kern w:val="0"/>
        </w:rPr>
        <w:t xml:space="preserve">  1.</w:t>
      </w:r>
      <w:r>
        <w:rPr>
          <w:b/>
        </w:rPr>
        <w:t xml:space="preserve"> </w:t>
      </w:r>
      <w:r>
        <w:rPr>
          <w:rFonts w:hint="eastAsia"/>
          <w:b/>
        </w:rPr>
        <w:t>合作原则</w:t>
      </w:r>
    </w:p>
    <w:p>
      <w:pPr>
        <w:pStyle w:val="18"/>
        <w:numPr>
          <w:ilvl w:val="0"/>
          <w:numId w:val="0"/>
        </w:numPr>
        <w:snapToGrid w:val="0"/>
        <w:spacing w:line="560" w:lineRule="exact"/>
        <w:ind w:firstLine="420"/>
        <w:rPr>
          <w:kern w:val="0"/>
        </w:rPr>
      </w:pPr>
      <w:r>
        <w:rPr>
          <w:kern w:val="0"/>
        </w:rPr>
        <w:t>1.1</w:t>
      </w:r>
      <w:r>
        <w:rPr>
          <w:rFonts w:hint="eastAsia"/>
        </w:rPr>
        <w:t>在合作有效期乙方应定期向甲方通报服务与接受服务的情况、信息，以利于不断改进服务质量</w:t>
      </w:r>
      <w:r>
        <w:rPr>
          <w:kern w:val="0"/>
        </w:rPr>
        <w:t>；</w:t>
      </w:r>
    </w:p>
    <w:p>
      <w:pPr>
        <w:pStyle w:val="18"/>
        <w:numPr>
          <w:ilvl w:val="0"/>
          <w:numId w:val="0"/>
        </w:numPr>
        <w:snapToGrid w:val="0"/>
        <w:spacing w:line="560" w:lineRule="exact"/>
        <w:ind w:firstLine="420"/>
        <w:rPr>
          <w:kern w:val="0"/>
        </w:rPr>
      </w:pPr>
      <w:r>
        <w:rPr>
          <w:kern w:val="0"/>
        </w:rPr>
        <w:t>1.2</w:t>
      </w:r>
      <w:r>
        <w:rPr>
          <w:rFonts w:hint="eastAsia"/>
        </w:rPr>
        <w:t>甲方与乙方不得违反国家现行的法律法规并损害对方利益，谋求不正当的利益</w:t>
      </w:r>
      <w:r>
        <w:rPr>
          <w:kern w:val="0"/>
        </w:rPr>
        <w:t>；</w:t>
      </w:r>
    </w:p>
    <w:p>
      <w:pPr>
        <w:pStyle w:val="18"/>
        <w:numPr>
          <w:ilvl w:val="0"/>
          <w:numId w:val="0"/>
        </w:numPr>
        <w:snapToGrid w:val="0"/>
        <w:spacing w:line="560" w:lineRule="exact"/>
        <w:ind w:firstLine="420"/>
        <w:rPr>
          <w:kern w:val="0"/>
        </w:rPr>
      </w:pPr>
      <w:r>
        <w:rPr>
          <w:kern w:val="0"/>
        </w:rPr>
        <w:t>1.3</w:t>
      </w:r>
      <w:r>
        <w:rPr>
          <w:rFonts w:hint="eastAsia"/>
        </w:rPr>
        <w:t>甲方与乙方应积极主动改善合作环境、深化合作内容、落实合作措施、提高合作效益和水平，实现互利共赢</w:t>
      </w:r>
      <w:r>
        <w:rPr>
          <w:kern w:val="0"/>
        </w:rPr>
        <w:t>；</w:t>
      </w:r>
    </w:p>
    <w:p>
      <w:pPr>
        <w:pStyle w:val="18"/>
        <w:numPr>
          <w:ilvl w:val="0"/>
          <w:numId w:val="0"/>
        </w:numPr>
        <w:snapToGrid w:val="0"/>
        <w:spacing w:line="560" w:lineRule="exact"/>
        <w:ind w:firstLine="420"/>
        <w:rPr>
          <w:kern w:val="0"/>
        </w:rPr>
      </w:pPr>
      <w:r>
        <w:rPr>
          <w:kern w:val="0"/>
        </w:rPr>
        <w:t>1.4</w:t>
      </w:r>
      <w:r>
        <w:rPr>
          <w:rFonts w:hint="eastAsia"/>
        </w:rPr>
        <w:t>甲方与乙方在合作过程中，须相互尊重，对一切业务信息、创意、资源及策划等相关资料，应严格保密</w:t>
      </w:r>
      <w:r>
        <w:rPr>
          <w:rFonts w:hint="eastAsia"/>
          <w:kern w:val="0"/>
        </w:rPr>
        <w:t>。</w:t>
      </w:r>
    </w:p>
    <w:p>
      <w:pPr>
        <w:pStyle w:val="18"/>
        <w:numPr>
          <w:ilvl w:val="0"/>
          <w:numId w:val="0"/>
        </w:numPr>
        <w:snapToGrid w:val="0"/>
        <w:spacing w:line="560" w:lineRule="exact"/>
        <w:outlineLvl w:val="0"/>
        <w:rPr>
          <w:b/>
          <w:bCs/>
          <w:kern w:val="0"/>
        </w:rPr>
      </w:pPr>
      <w:r>
        <w:rPr>
          <w:kern w:val="0"/>
        </w:rPr>
        <w:t xml:space="preserve"> </w:t>
      </w:r>
      <w:r>
        <w:rPr>
          <w:b/>
          <w:bCs/>
          <w:kern w:val="0"/>
        </w:rPr>
        <w:t xml:space="preserve"> </w:t>
      </w:r>
      <w:r>
        <w:rPr>
          <w:rFonts w:hint="eastAsia"/>
          <w:b/>
          <w:bCs/>
          <w:kern w:val="0"/>
        </w:rPr>
        <w:t xml:space="preserve">  </w:t>
      </w:r>
      <w:r>
        <w:rPr>
          <w:b/>
          <w:bCs/>
          <w:kern w:val="0"/>
        </w:rPr>
        <w:t xml:space="preserve">2. </w:t>
      </w:r>
      <w:r>
        <w:rPr>
          <w:rFonts w:hint="eastAsia"/>
          <w:b/>
          <w:bCs/>
          <w:kern w:val="0"/>
        </w:rPr>
        <w:t>服务项目</w:t>
      </w:r>
    </w:p>
    <w:p>
      <w:pPr>
        <w:pStyle w:val="18"/>
        <w:numPr>
          <w:ilvl w:val="0"/>
          <w:numId w:val="0"/>
        </w:numPr>
        <w:snapToGrid w:val="0"/>
        <w:spacing w:line="560" w:lineRule="exact"/>
        <w:ind w:firstLine="420" w:firstLineChars="200"/>
        <w:rPr>
          <w:kern w:val="0"/>
        </w:rPr>
      </w:pPr>
      <w:r>
        <w:rPr>
          <w:rFonts w:hint="eastAsia"/>
        </w:rPr>
        <w:t>甲方为了在生产经营过程中更好地保护自主知识产权，维护自身合法权益，拟聘请</w:t>
      </w:r>
      <w:r>
        <w:rPr>
          <w:rFonts w:hint="eastAsia" w:cs="仿宋_GB2312"/>
        </w:rPr>
        <w:t>委托乙方对甲方“知识产权代理服务”项目进行服务</w:t>
      </w:r>
      <w:r>
        <w:rPr>
          <w:kern w:val="0"/>
        </w:rPr>
        <w:t>。</w:t>
      </w:r>
    </w:p>
    <w:p>
      <w:pPr>
        <w:pStyle w:val="18"/>
        <w:numPr>
          <w:ilvl w:val="0"/>
          <w:numId w:val="0"/>
        </w:numPr>
        <w:snapToGrid w:val="0"/>
        <w:spacing w:line="560" w:lineRule="exact"/>
        <w:outlineLvl w:val="0"/>
        <w:rPr>
          <w:b/>
          <w:bCs/>
          <w:kern w:val="0"/>
        </w:rPr>
      </w:pPr>
      <w:r>
        <w:rPr>
          <w:kern w:val="0"/>
        </w:rPr>
        <w:t xml:space="preserve"> </w:t>
      </w:r>
      <w:r>
        <w:rPr>
          <w:rFonts w:hint="eastAsia"/>
          <w:kern w:val="0"/>
        </w:rPr>
        <w:t xml:space="preserve">  </w:t>
      </w:r>
      <w:r>
        <w:rPr>
          <w:kern w:val="0"/>
        </w:rPr>
        <w:t xml:space="preserve"> </w:t>
      </w:r>
      <w:r>
        <w:rPr>
          <w:b/>
          <w:bCs/>
          <w:kern w:val="0"/>
        </w:rPr>
        <w:t xml:space="preserve">3. </w:t>
      </w:r>
      <w:r>
        <w:rPr>
          <w:rFonts w:hint="eastAsia"/>
          <w:b/>
          <w:bCs/>
          <w:kern w:val="0"/>
        </w:rPr>
        <w:t>服务内容</w:t>
      </w:r>
    </w:p>
    <w:p>
      <w:pPr>
        <w:spacing w:after="156" w:afterLines="50" w:line="440" w:lineRule="exact"/>
        <w:ind w:firstLine="424" w:firstLineChars="201"/>
        <w:rPr>
          <w:rFonts w:ascii="宋体" w:hAnsi="宋体"/>
          <w:b/>
          <w:color w:val="000000"/>
          <w:szCs w:val="21"/>
        </w:rPr>
      </w:pPr>
      <w:r>
        <w:rPr>
          <w:rFonts w:hint="eastAsia" w:ascii="宋体" w:hAnsi="宋体"/>
          <w:b/>
          <w:color w:val="000000"/>
          <w:szCs w:val="21"/>
        </w:rPr>
        <w:t>一、乙方专利代理服务的内容</w:t>
      </w:r>
    </w:p>
    <w:p>
      <w:pPr>
        <w:spacing w:line="560" w:lineRule="exact"/>
        <w:ind w:firstLine="420" w:firstLineChars="200"/>
        <w:rPr>
          <w:rFonts w:ascii="宋体" w:hAnsi="宋体"/>
          <w:color w:val="000000"/>
          <w:szCs w:val="21"/>
        </w:rPr>
      </w:pPr>
      <w:r>
        <w:rPr>
          <w:rFonts w:hint="eastAsia" w:ascii="宋体" w:hAnsi="宋体"/>
          <w:color w:val="000000"/>
          <w:szCs w:val="21"/>
        </w:rPr>
        <w:t>1、甲方企业委托乙方代理甲方的专利事务，包括专利申请、初步审查、实质审查、授权手续和专利权维持等的代理事务。</w:t>
      </w:r>
    </w:p>
    <w:p>
      <w:pPr>
        <w:spacing w:line="560" w:lineRule="exact"/>
        <w:ind w:firstLine="420" w:firstLineChars="200"/>
        <w:rPr>
          <w:rFonts w:ascii="宋体" w:hAnsi="宋体"/>
          <w:color w:val="000000"/>
          <w:szCs w:val="21"/>
        </w:rPr>
      </w:pPr>
      <w:r>
        <w:rPr>
          <w:rFonts w:hint="eastAsia" w:ascii="宋体" w:hAnsi="宋体"/>
          <w:color w:val="000000"/>
          <w:szCs w:val="21"/>
        </w:rPr>
        <w:t>①专利申请，包括：起草和准备所有必须文件（图片或照片、权利要求书、说明书、附图、摘要、优先权文件、委托书和其他官方表格等）并以甲方的名义处理所有的申请手续(包括代缴费用)，直至中国国家知识产权局专利局(以下简称专利局)受理申请文件；</w:t>
      </w:r>
    </w:p>
    <w:p>
      <w:pPr>
        <w:spacing w:line="560" w:lineRule="exact"/>
        <w:ind w:firstLine="420" w:firstLineChars="200"/>
        <w:rPr>
          <w:rFonts w:ascii="宋体" w:hAnsi="宋体"/>
          <w:color w:val="000000"/>
          <w:szCs w:val="21"/>
        </w:rPr>
      </w:pPr>
      <w:r>
        <w:rPr>
          <w:rFonts w:hint="eastAsia" w:ascii="宋体" w:hAnsi="宋体"/>
          <w:color w:val="000000"/>
          <w:szCs w:val="21"/>
        </w:rPr>
        <w:t>初步审查，包恬：答复专利申请的补正通知书、审查意见通知书、视为撤回通知书等；</w:t>
      </w:r>
    </w:p>
    <w:p>
      <w:pPr>
        <w:spacing w:line="560" w:lineRule="exact"/>
        <w:ind w:firstLine="420" w:firstLineChars="200"/>
        <w:rPr>
          <w:rFonts w:ascii="宋体" w:hAnsi="宋体"/>
          <w:color w:val="000000"/>
          <w:szCs w:val="21"/>
        </w:rPr>
      </w:pPr>
      <w:r>
        <w:rPr>
          <w:rFonts w:hint="eastAsia" w:ascii="宋体" w:hAnsi="宋体"/>
          <w:color w:val="000000"/>
          <w:szCs w:val="21"/>
        </w:rPr>
        <w:t>实质审查，包括:修改申请文件，答复专利申请的审查意见通知书、视为撤回通知书等；</w:t>
      </w:r>
    </w:p>
    <w:p>
      <w:pPr>
        <w:spacing w:line="560" w:lineRule="exact"/>
        <w:ind w:firstLine="420" w:firstLineChars="200"/>
        <w:rPr>
          <w:rFonts w:ascii="宋体" w:hAnsi="宋体"/>
          <w:color w:val="000000"/>
          <w:szCs w:val="21"/>
        </w:rPr>
      </w:pPr>
      <w:r>
        <w:rPr>
          <w:rFonts w:hint="eastAsia" w:ascii="宋体" w:hAnsi="宋体"/>
          <w:color w:val="000000"/>
          <w:szCs w:val="21"/>
        </w:rPr>
        <w:t>授权手续，包括：办理授权手续、代缴费用并转达证书；</w:t>
      </w:r>
    </w:p>
    <w:p>
      <w:pPr>
        <w:spacing w:line="560" w:lineRule="exact"/>
        <w:ind w:firstLine="420" w:firstLineChars="200"/>
        <w:rPr>
          <w:rFonts w:ascii="宋体" w:hAnsi="宋体"/>
          <w:color w:val="000000"/>
          <w:szCs w:val="21"/>
        </w:rPr>
      </w:pPr>
      <w:r>
        <w:rPr>
          <w:rFonts w:hint="eastAsia" w:ascii="宋体" w:hAnsi="宋体"/>
          <w:color w:val="000000"/>
          <w:szCs w:val="21"/>
        </w:rPr>
        <w:t>专利权的维持，包括：监控己授权专利年费缴纳期限并在期限前提醒甲方完成年费的缴纳。</w:t>
      </w:r>
    </w:p>
    <w:p>
      <w:pPr>
        <w:spacing w:line="560" w:lineRule="exact"/>
        <w:ind w:firstLine="420" w:firstLineChars="200"/>
        <w:rPr>
          <w:rFonts w:ascii="宋体" w:hAnsi="宋体"/>
          <w:color w:val="000000"/>
          <w:szCs w:val="21"/>
        </w:rPr>
      </w:pPr>
      <w:r>
        <w:rPr>
          <w:rFonts w:hint="eastAsia" w:ascii="宋体" w:hAnsi="宋体"/>
          <w:color w:val="000000"/>
          <w:szCs w:val="21"/>
        </w:rPr>
        <w:t>②参加甲方企业专利转让、许可合同的起草、审核甲方企业知识产权转让、许可合同；</w:t>
      </w:r>
    </w:p>
    <w:p>
      <w:pPr>
        <w:spacing w:line="560" w:lineRule="exact"/>
        <w:ind w:firstLine="420" w:firstLineChars="200"/>
        <w:rPr>
          <w:rFonts w:ascii="宋体" w:hAnsi="宋体"/>
          <w:color w:val="000000"/>
          <w:szCs w:val="21"/>
        </w:rPr>
      </w:pPr>
      <w:r>
        <w:rPr>
          <w:rFonts w:hint="eastAsia" w:ascii="宋体" w:hAnsi="宋体"/>
          <w:color w:val="000000"/>
          <w:szCs w:val="21"/>
        </w:rPr>
        <w:t>③参加甲方企业关于知识产权方面的重要经济活动，提出法律意见，协助处理有关事务，免费接受甲方企业关于知识产权方面的问题的咨询；</w:t>
      </w:r>
    </w:p>
    <w:p>
      <w:pPr>
        <w:spacing w:line="560" w:lineRule="exact"/>
        <w:ind w:firstLine="420" w:firstLineChars="200"/>
        <w:rPr>
          <w:rFonts w:ascii="宋体" w:hAnsi="宋体"/>
          <w:color w:val="000000"/>
          <w:szCs w:val="21"/>
        </w:rPr>
      </w:pPr>
      <w:r>
        <w:rPr>
          <w:rFonts w:hint="eastAsia" w:ascii="宋体" w:hAnsi="宋体"/>
          <w:color w:val="000000"/>
          <w:szCs w:val="21"/>
        </w:rPr>
        <w:t>④审核甲方企业草拟的关于专利方面的规章制度和管理办法，并提出意见；</w:t>
      </w:r>
    </w:p>
    <w:p>
      <w:pPr>
        <w:spacing w:line="560" w:lineRule="exact"/>
        <w:ind w:firstLine="420" w:firstLineChars="200"/>
        <w:rPr>
          <w:rFonts w:ascii="宋体" w:hAnsi="宋体"/>
          <w:color w:val="000000"/>
          <w:szCs w:val="21"/>
        </w:rPr>
      </w:pPr>
      <w:r>
        <w:rPr>
          <w:rFonts w:hint="eastAsia" w:ascii="宋体" w:hAnsi="宋体"/>
          <w:color w:val="000000"/>
          <w:szCs w:val="21"/>
        </w:rPr>
        <w:t>⑤配合甲方企业有关部门对员工进行专利方面的基础知识培训；</w:t>
      </w:r>
    </w:p>
    <w:p>
      <w:pPr>
        <w:spacing w:line="560" w:lineRule="exact"/>
        <w:ind w:firstLine="420" w:firstLineChars="200"/>
        <w:rPr>
          <w:rFonts w:ascii="宋体" w:hAnsi="宋体"/>
          <w:color w:val="000000"/>
          <w:szCs w:val="21"/>
        </w:rPr>
      </w:pPr>
      <w:r>
        <w:rPr>
          <w:rFonts w:hint="eastAsia" w:ascii="宋体" w:hAnsi="宋体"/>
          <w:color w:val="000000"/>
          <w:szCs w:val="21"/>
        </w:rPr>
        <w:t>⑥专利咨询服务：查询检索、无效检索、专题检索、防侵权检索、专利预警、知识产权分析评议、知识产权贯标、知识产权托管等服务。项目立项中的知识产权分析评议，研究拟立项技术的各种重要信息；在科技项目立项阶段从不同角度检索已公开的各类文献，包括专利文献和非专利文献，以提高研发创新的起点，避免低水平重复的研究；确定主要竞争对手及其技术发展情况；确定侵权风险并提供规避方案或立项建议；专利侵权风险分析，跟踪研发，进行深度的技术专利预警分析，为企业研发提供数据与理论方向技术空白点的专利预警分析；</w:t>
      </w:r>
    </w:p>
    <w:p>
      <w:pPr>
        <w:spacing w:line="560" w:lineRule="exact"/>
        <w:ind w:firstLine="420" w:firstLineChars="200"/>
        <w:rPr>
          <w:rFonts w:ascii="宋体" w:hAnsi="宋体"/>
          <w:color w:val="000000"/>
          <w:szCs w:val="21"/>
        </w:rPr>
      </w:pPr>
      <w:r>
        <w:rPr>
          <w:rFonts w:hint="eastAsia" w:ascii="宋体" w:hAnsi="宋体"/>
          <w:color w:val="000000"/>
          <w:szCs w:val="21"/>
        </w:rPr>
        <w:t>⑧乙方每年年终应将全年专利服务方面工作向甲方作出书面总结及次年计划。</w:t>
      </w:r>
    </w:p>
    <w:p>
      <w:pPr>
        <w:spacing w:before="156" w:beforeLines="50" w:after="156" w:afterLines="50" w:line="560" w:lineRule="exact"/>
        <w:ind w:firstLine="422" w:firstLineChars="200"/>
        <w:rPr>
          <w:rFonts w:ascii="宋体" w:hAnsi="宋体"/>
          <w:b/>
          <w:color w:val="000000"/>
          <w:szCs w:val="21"/>
        </w:rPr>
      </w:pPr>
      <w:r>
        <w:rPr>
          <w:rFonts w:hint="eastAsia" w:ascii="宋体" w:hAnsi="宋体"/>
          <w:b/>
          <w:color w:val="000000"/>
          <w:szCs w:val="21"/>
        </w:rPr>
        <w:t>二、乙方检索咨询服务内容</w:t>
      </w:r>
    </w:p>
    <w:p>
      <w:pPr>
        <w:spacing w:line="560" w:lineRule="exact"/>
        <w:ind w:firstLine="442" w:firstLineChars="200"/>
        <w:rPr>
          <w:rFonts w:ascii="宋体" w:hAnsi="宋体"/>
          <w:b/>
          <w:color w:val="000000"/>
          <w:sz w:val="22"/>
        </w:rPr>
      </w:pPr>
      <w:r>
        <w:rPr>
          <w:rFonts w:hint="eastAsia" w:ascii="宋体" w:hAnsi="宋体"/>
          <w:b/>
          <w:color w:val="000000"/>
          <w:sz w:val="22"/>
        </w:rPr>
        <w:t>(一)</w:t>
      </w:r>
      <w:r>
        <w:rPr>
          <w:b/>
        </w:rPr>
        <w:t xml:space="preserve"> 专利检索</w:t>
      </w:r>
    </w:p>
    <w:p>
      <w:pPr>
        <w:spacing w:line="560" w:lineRule="exact"/>
        <w:ind w:firstLine="420" w:firstLineChars="200"/>
        <w:rPr>
          <w:rFonts w:ascii="宋体" w:hAnsi="宋体"/>
          <w:color w:val="000000"/>
          <w:szCs w:val="21"/>
        </w:rPr>
      </w:pPr>
      <w:r>
        <w:rPr>
          <w:rFonts w:hint="eastAsia" w:ascii="宋体" w:hAnsi="宋体"/>
          <w:color w:val="000000"/>
          <w:szCs w:val="21"/>
        </w:rPr>
        <w:t xml:space="preserve">1、查新检索：包括新颖性文献检索、特征对比表、检索报告； </w:t>
      </w:r>
    </w:p>
    <w:p>
      <w:pPr>
        <w:spacing w:line="560" w:lineRule="exact"/>
        <w:ind w:firstLine="420" w:firstLineChars="200"/>
        <w:rPr>
          <w:rFonts w:ascii="宋体" w:hAnsi="宋体"/>
          <w:color w:val="000000"/>
          <w:szCs w:val="21"/>
        </w:rPr>
      </w:pPr>
      <w:r>
        <w:rPr>
          <w:rFonts w:hint="eastAsia" w:ascii="宋体" w:hAnsi="宋体"/>
          <w:color w:val="000000"/>
          <w:szCs w:val="21"/>
        </w:rPr>
        <w:t>2、可专利性检索：包括新颖性创造性文献检索、特征对比表、可专利性意见分析；</w:t>
      </w:r>
    </w:p>
    <w:p>
      <w:pPr>
        <w:spacing w:line="560" w:lineRule="exact"/>
        <w:ind w:firstLine="420" w:firstLineChars="200"/>
        <w:rPr>
          <w:rFonts w:ascii="宋体" w:hAnsi="宋体"/>
          <w:color w:val="000000"/>
          <w:szCs w:val="21"/>
        </w:rPr>
      </w:pPr>
      <w:r>
        <w:rPr>
          <w:rFonts w:hint="eastAsia" w:ascii="宋体" w:hAnsi="宋体"/>
          <w:color w:val="000000"/>
          <w:szCs w:val="21"/>
        </w:rPr>
        <w:t xml:space="preserve">3、无效检索：新颖性创造性文献检索、特征对比表、无效理由分析； </w:t>
      </w:r>
    </w:p>
    <w:p>
      <w:pPr>
        <w:spacing w:line="560" w:lineRule="exact"/>
        <w:ind w:firstLine="420" w:firstLineChars="200"/>
        <w:rPr>
          <w:rFonts w:ascii="宋体" w:hAnsi="宋体"/>
          <w:color w:val="000000"/>
          <w:szCs w:val="21"/>
        </w:rPr>
      </w:pPr>
      <w:r>
        <w:rPr>
          <w:rFonts w:hint="eastAsia" w:ascii="宋体" w:hAnsi="宋体"/>
          <w:color w:val="000000"/>
          <w:szCs w:val="21"/>
        </w:rPr>
        <w:t>4、侵权检索：形成侵权比对技术方案、防侵权检索、侵权比对分析、规避设计、无效检索分析；</w:t>
      </w:r>
    </w:p>
    <w:p>
      <w:pPr>
        <w:spacing w:line="560" w:lineRule="exact"/>
        <w:ind w:firstLine="420" w:firstLineChars="200"/>
        <w:rPr>
          <w:rFonts w:ascii="宋体" w:hAnsi="宋体"/>
          <w:color w:val="000000"/>
          <w:szCs w:val="21"/>
        </w:rPr>
      </w:pPr>
      <w:r>
        <w:rPr>
          <w:rFonts w:hint="eastAsia" w:ascii="宋体" w:hAnsi="宋体"/>
          <w:color w:val="000000"/>
          <w:szCs w:val="21"/>
        </w:rPr>
        <w:t>5、技术主题检索：包括国内技术主题检索、全球技术主题检索、特殊语种技术主题检索、期刊论文检索；</w:t>
      </w:r>
    </w:p>
    <w:p>
      <w:pPr>
        <w:spacing w:line="560" w:lineRule="exact"/>
        <w:ind w:firstLine="420" w:firstLineChars="200"/>
        <w:rPr>
          <w:rFonts w:ascii="宋体" w:hAnsi="宋体"/>
          <w:color w:val="000000"/>
          <w:szCs w:val="21"/>
        </w:rPr>
      </w:pPr>
      <w:r>
        <w:rPr>
          <w:rFonts w:hint="eastAsia" w:ascii="宋体" w:hAnsi="宋体"/>
          <w:color w:val="000000"/>
          <w:szCs w:val="21"/>
        </w:rPr>
        <w:t>6、专利相关人检索：申请人/专利权人检索、发明人检索；</w:t>
      </w:r>
    </w:p>
    <w:p>
      <w:pPr>
        <w:spacing w:line="560" w:lineRule="exact"/>
        <w:ind w:firstLine="420" w:firstLineChars="200"/>
        <w:rPr>
          <w:rFonts w:ascii="宋体" w:hAnsi="宋体"/>
          <w:color w:val="000000"/>
          <w:szCs w:val="21"/>
        </w:rPr>
      </w:pPr>
      <w:r>
        <w:rPr>
          <w:rFonts w:hint="eastAsia" w:ascii="宋体" w:hAnsi="宋体"/>
          <w:color w:val="000000"/>
          <w:szCs w:val="21"/>
        </w:rPr>
        <w:t>7、科技查新检索：国内科技查新检索、全球科技查新检索。</w:t>
      </w:r>
    </w:p>
    <w:p>
      <w:pPr>
        <w:spacing w:line="560" w:lineRule="exact"/>
        <w:ind w:firstLine="442" w:firstLineChars="200"/>
        <w:rPr>
          <w:rFonts w:ascii="宋体" w:hAnsi="宋体"/>
          <w:b/>
          <w:color w:val="000000"/>
          <w:sz w:val="22"/>
        </w:rPr>
      </w:pPr>
      <w:r>
        <w:rPr>
          <w:rFonts w:hint="eastAsia" w:ascii="宋体" w:hAnsi="宋体"/>
          <w:b/>
          <w:color w:val="000000"/>
          <w:sz w:val="22"/>
        </w:rPr>
        <w:t>(二)</w:t>
      </w:r>
      <w:r>
        <w:rPr>
          <w:rFonts w:hint="eastAsia"/>
        </w:rPr>
        <w:t xml:space="preserve"> </w:t>
      </w:r>
      <w:r>
        <w:rPr>
          <w:rFonts w:hint="eastAsia" w:ascii="宋体" w:hAnsi="宋体"/>
          <w:b/>
          <w:color w:val="000000"/>
          <w:sz w:val="22"/>
        </w:rPr>
        <w:t>专利分析</w:t>
      </w:r>
    </w:p>
    <w:p>
      <w:pPr>
        <w:spacing w:line="560" w:lineRule="exact"/>
        <w:ind w:firstLine="420" w:firstLineChars="200"/>
        <w:rPr>
          <w:rFonts w:ascii="宋体" w:hAnsi="宋体"/>
          <w:color w:val="000000"/>
          <w:szCs w:val="21"/>
        </w:rPr>
      </w:pPr>
      <w:r>
        <w:rPr>
          <w:rFonts w:hint="eastAsia" w:ascii="宋体" w:hAnsi="宋体"/>
          <w:color w:val="000000"/>
          <w:szCs w:val="21"/>
        </w:rPr>
        <w:t xml:space="preserve">1、竞争对手分析：包括寻找竞争对手、对手技术与产品调查、竞争对手专利检索、研发技术路线分析、研发热点空白点分析、重要专利分析、全球专利布局分析、法律状态分析、专利诉讼分析、专利运营分析、核心发明人分析、发明人流动性分析、发明人合作研发分析、发明人技术专长分析、竞争对手合作研发分析、专利保护策略分析、专利质量分析； </w:t>
      </w:r>
    </w:p>
    <w:p>
      <w:pPr>
        <w:spacing w:line="560" w:lineRule="exact"/>
        <w:ind w:firstLine="420" w:firstLineChars="200"/>
        <w:rPr>
          <w:rFonts w:ascii="宋体" w:hAnsi="宋体"/>
          <w:color w:val="000000"/>
          <w:szCs w:val="21"/>
        </w:rPr>
      </w:pPr>
      <w:r>
        <w:rPr>
          <w:rFonts w:hint="eastAsia" w:ascii="宋体" w:hAnsi="宋体"/>
          <w:color w:val="000000"/>
          <w:szCs w:val="21"/>
        </w:rPr>
        <w:t>2、行业专利分析（技术主题分析）：行业调查、行业专利技术分解、行业专利检索、技术发展趋势分析、技术生命周期分析、技术发展路线分析、技术热点空白点分析、技术分支分析、行业重要专利分析、全球专利布局分析、重点技术分析、重要申请人分析（参见竞争对手分析）、重要发明人分析、重点国家地区分析、行业专利运营分析、行业专利诉讼分析、标准相关专利分析；</w:t>
      </w:r>
    </w:p>
    <w:p>
      <w:pPr>
        <w:spacing w:line="560" w:lineRule="exact"/>
        <w:ind w:firstLine="420" w:firstLineChars="200"/>
        <w:rPr>
          <w:rFonts w:ascii="宋体" w:hAnsi="宋体"/>
          <w:color w:val="000000"/>
          <w:szCs w:val="21"/>
        </w:rPr>
      </w:pPr>
      <w:r>
        <w:rPr>
          <w:rFonts w:hint="eastAsia" w:ascii="宋体" w:hAnsi="宋体"/>
          <w:color w:val="000000"/>
          <w:szCs w:val="21"/>
        </w:rPr>
        <w:t>3、专利权稳定性分析：包括新颖性创造性文献检索、技术特征对比表、权利要求撰写质量分析、说明书撰写质量分析、权利要求保护范围分析、无效理由分析、无效应对方案、高风险竞争对手排查；</w:t>
      </w:r>
    </w:p>
    <w:p>
      <w:pPr>
        <w:spacing w:line="560" w:lineRule="exact"/>
        <w:ind w:firstLine="420" w:firstLineChars="200"/>
        <w:rPr>
          <w:rFonts w:ascii="宋体" w:hAnsi="宋体"/>
          <w:color w:val="000000"/>
          <w:szCs w:val="21"/>
        </w:rPr>
      </w:pPr>
      <w:r>
        <w:rPr>
          <w:rFonts w:hint="eastAsia" w:ascii="宋体" w:hAnsi="宋体"/>
          <w:color w:val="000000"/>
          <w:szCs w:val="21"/>
        </w:rPr>
        <w:t>4、专利法律价值分析：包括专利权稳定性（新颖性、创造性、撰写质量、保护范围、无效与复审历史）、专利侵权可判定性（技术特征属性、权利要求主题类型）、专利有效性（专利类型、专利寿命）、专利自由度（同族专利、权利归属、许可转让、不可规避性、依赖性）；</w:t>
      </w:r>
    </w:p>
    <w:p>
      <w:pPr>
        <w:spacing w:line="560" w:lineRule="exact"/>
        <w:ind w:firstLine="420" w:firstLineChars="200"/>
        <w:rPr>
          <w:rFonts w:ascii="宋体" w:hAnsi="宋体"/>
          <w:color w:val="000000"/>
          <w:szCs w:val="21"/>
        </w:rPr>
      </w:pPr>
      <w:r>
        <w:rPr>
          <w:rFonts w:hint="eastAsia" w:ascii="宋体" w:hAnsi="宋体"/>
          <w:color w:val="000000"/>
          <w:szCs w:val="21"/>
        </w:rPr>
        <w:t>5、专利技术价值分析：包括技术先进性（技术问题重要性、技术原创性、技术效果、专利被引用）、技术领域发展趋势（技术生命周期、专利增量分布）、适用范围（技术问题适用范围、说明书实施例、专利分类号）、不可替代性（替代技术、专利引用）、可实施性（成熟度、配套条件、技术独立实施度、产业化时间）；</w:t>
      </w:r>
    </w:p>
    <w:p>
      <w:pPr>
        <w:spacing w:line="560" w:lineRule="exact"/>
        <w:ind w:firstLine="420" w:firstLineChars="200"/>
        <w:rPr>
          <w:rFonts w:ascii="宋体" w:hAnsi="宋体"/>
          <w:color w:val="000000"/>
          <w:szCs w:val="21"/>
        </w:rPr>
      </w:pPr>
      <w:r>
        <w:rPr>
          <w:rFonts w:hint="eastAsia" w:ascii="宋体" w:hAnsi="宋体"/>
          <w:color w:val="000000"/>
          <w:szCs w:val="21"/>
        </w:rPr>
        <w:t>6、专利市场价值分析：包括市场应用情况（市场需求、市场规模、市场占有率、市场利润、竞争优势）、政策适应性（政策导向、政策发布方、行业审批）、获益能力（专利经济寿命、专利收益、社会收益）、标准相关度（标准纳入、标准类型、与标准专利的关系）。</w:t>
      </w:r>
    </w:p>
    <w:p>
      <w:pPr>
        <w:spacing w:line="560" w:lineRule="exact"/>
        <w:ind w:firstLine="442" w:firstLineChars="200"/>
        <w:rPr>
          <w:rFonts w:ascii="宋体" w:hAnsi="宋体"/>
          <w:b/>
          <w:color w:val="000000"/>
          <w:sz w:val="22"/>
        </w:rPr>
      </w:pPr>
      <w:r>
        <w:rPr>
          <w:rFonts w:hint="eastAsia" w:ascii="宋体" w:hAnsi="宋体"/>
          <w:b/>
          <w:color w:val="000000"/>
          <w:sz w:val="22"/>
        </w:rPr>
        <w:t>（三）定制咨询</w:t>
      </w:r>
    </w:p>
    <w:p>
      <w:pPr>
        <w:spacing w:line="560" w:lineRule="exact"/>
        <w:ind w:firstLine="420" w:firstLineChars="200"/>
        <w:rPr>
          <w:rFonts w:ascii="宋体" w:hAnsi="宋体"/>
          <w:color w:val="000000"/>
          <w:szCs w:val="21"/>
        </w:rPr>
      </w:pPr>
      <w:r>
        <w:rPr>
          <w:rFonts w:hint="eastAsia" w:ascii="宋体" w:hAnsi="宋体"/>
          <w:color w:val="000000"/>
          <w:szCs w:val="21"/>
        </w:rPr>
        <w:t xml:space="preserve">1、专利挖掘：包括项目式专利挖掘、包绕式专利挖掘、规避式专利挖掘、TRIZ式专利挖掘、分析式专利挖掘； </w:t>
      </w:r>
    </w:p>
    <w:p>
      <w:pPr>
        <w:spacing w:line="560" w:lineRule="exact"/>
        <w:ind w:firstLine="420" w:firstLineChars="200"/>
        <w:rPr>
          <w:rFonts w:ascii="宋体" w:hAnsi="宋体"/>
          <w:color w:val="000000"/>
          <w:szCs w:val="21"/>
        </w:rPr>
      </w:pPr>
      <w:r>
        <w:rPr>
          <w:rFonts w:hint="eastAsia" w:ascii="宋体" w:hAnsi="宋体"/>
          <w:color w:val="000000"/>
          <w:szCs w:val="21"/>
        </w:rPr>
        <w:t>2、专利布局：包括行业调查报告、专利布局分析、专利布局策略、专利布局规划、专利布局实施（专利挖掘和专利申请）、专利布局优化、围绕竞争对手专利布局、围绕技术标准专利布局、海外专利布局、申请策略制定、申请进度规划、专利分级、费用减免；</w:t>
      </w:r>
    </w:p>
    <w:p>
      <w:pPr>
        <w:spacing w:line="560" w:lineRule="exact"/>
        <w:ind w:firstLine="420" w:firstLineChars="200"/>
        <w:rPr>
          <w:rFonts w:ascii="宋体" w:hAnsi="宋体"/>
          <w:color w:val="000000"/>
          <w:szCs w:val="21"/>
        </w:rPr>
      </w:pPr>
      <w:r>
        <w:rPr>
          <w:rFonts w:hint="eastAsia" w:ascii="宋体" w:hAnsi="宋体"/>
          <w:color w:val="000000"/>
          <w:szCs w:val="21"/>
        </w:rPr>
        <w:t>3、知识产权分析评议：包括企业并购中的分析评议、专利收购中的分析评议、专利成果实施中的分析评议、企业上市中的分析评议、技术标准化中的分析评议、技术引进中的分析评议、产品出口中的分析评议、境外参展中的分析评议、海外纠纷应对中的分析评议、人才引进中的分析评议、科技计划管理中的分析评议、科技成果转化中的分析评议、科技成果评价中的分析评议、政府投资中的分析评议；</w:t>
      </w:r>
    </w:p>
    <w:p>
      <w:pPr>
        <w:spacing w:line="560" w:lineRule="exact"/>
        <w:ind w:firstLine="420" w:firstLineChars="200"/>
        <w:rPr>
          <w:rFonts w:ascii="宋体" w:hAnsi="宋体"/>
          <w:color w:val="000000"/>
          <w:szCs w:val="21"/>
        </w:rPr>
      </w:pPr>
      <w:r>
        <w:rPr>
          <w:rFonts w:hint="eastAsia" w:ascii="宋体" w:hAnsi="宋体"/>
          <w:color w:val="000000"/>
          <w:szCs w:val="21"/>
        </w:rPr>
        <w:t>4、专利导航：包括产业导航、园区导航、企业导航、投资导航；</w:t>
      </w:r>
    </w:p>
    <w:p>
      <w:pPr>
        <w:spacing w:line="560" w:lineRule="exact"/>
        <w:ind w:firstLine="420" w:firstLineChars="200"/>
        <w:rPr>
          <w:rFonts w:ascii="宋体" w:hAnsi="宋体"/>
          <w:color w:val="000000"/>
          <w:szCs w:val="21"/>
        </w:rPr>
      </w:pPr>
      <w:r>
        <w:rPr>
          <w:rFonts w:hint="eastAsia" w:ascii="宋体" w:hAnsi="宋体"/>
          <w:color w:val="000000"/>
          <w:szCs w:val="21"/>
        </w:rPr>
        <w:t>5、专利预警：包括行业专利态势分析、重要竞争对手分析、风险专利排查、专利侵权比对、专利规避设计、专利无效检索。</w:t>
      </w:r>
    </w:p>
    <w:p>
      <w:pPr>
        <w:spacing w:line="560" w:lineRule="exact"/>
        <w:ind w:firstLine="442" w:firstLineChars="200"/>
        <w:rPr>
          <w:rFonts w:ascii="宋体" w:hAnsi="宋体"/>
          <w:b/>
          <w:color w:val="000000"/>
          <w:sz w:val="22"/>
        </w:rPr>
      </w:pPr>
      <w:r>
        <w:rPr>
          <w:rFonts w:hint="eastAsia" w:ascii="宋体" w:hAnsi="宋体"/>
          <w:b/>
          <w:color w:val="000000"/>
          <w:sz w:val="22"/>
        </w:rPr>
        <w:t>（四）管理咨询服务</w:t>
      </w:r>
    </w:p>
    <w:p>
      <w:pPr>
        <w:spacing w:line="560" w:lineRule="exact"/>
        <w:ind w:firstLine="420" w:firstLineChars="200"/>
        <w:rPr>
          <w:rFonts w:ascii="宋体" w:hAnsi="宋体"/>
          <w:color w:val="000000"/>
          <w:szCs w:val="21"/>
        </w:rPr>
      </w:pPr>
      <w:r>
        <w:rPr>
          <w:rFonts w:hint="eastAsia" w:ascii="宋体" w:hAnsi="宋体"/>
          <w:color w:val="000000"/>
          <w:szCs w:val="21"/>
        </w:rPr>
        <w:t>1.知识产权贯标：包括企业知识产权贯标咨询、高校科研机构知识产权贯标咨询、知识产权贯标培训、知识产权贯标认证托管；</w:t>
      </w:r>
    </w:p>
    <w:p>
      <w:pPr>
        <w:spacing w:line="560" w:lineRule="exact"/>
        <w:ind w:firstLine="420" w:firstLineChars="200"/>
        <w:rPr>
          <w:rFonts w:ascii="宋体" w:hAnsi="宋体"/>
          <w:color w:val="000000"/>
          <w:szCs w:val="21"/>
        </w:rPr>
      </w:pPr>
      <w:r>
        <w:rPr>
          <w:rFonts w:hint="eastAsia" w:ascii="宋体" w:hAnsi="宋体"/>
          <w:color w:val="000000"/>
          <w:szCs w:val="21"/>
        </w:rPr>
        <w:t>2.知识产权项目申报：包括国家级项目申报、省部级项目申报、地市级项目申报；</w:t>
      </w:r>
    </w:p>
    <w:p>
      <w:pPr>
        <w:spacing w:line="560" w:lineRule="exact"/>
        <w:ind w:firstLine="420" w:firstLineChars="200"/>
        <w:rPr>
          <w:rFonts w:ascii="宋体" w:hAnsi="宋体"/>
          <w:color w:val="000000"/>
          <w:szCs w:val="21"/>
        </w:rPr>
      </w:pPr>
      <w:r>
        <w:rPr>
          <w:rFonts w:hint="eastAsia" w:ascii="宋体" w:hAnsi="宋体"/>
          <w:color w:val="000000"/>
          <w:szCs w:val="21"/>
        </w:rPr>
        <w:t>3.知识产权荣誉申报：包括中国专利金奖、中国外观设计金奖、中国专利优秀奖、中国外观设计优秀奖、国家知识产权示范企业、国家知识产权优势企业、地方知识产权示范企业、地方知识产权优势企业；</w:t>
      </w:r>
    </w:p>
    <w:p>
      <w:pPr>
        <w:spacing w:line="560" w:lineRule="exact"/>
        <w:ind w:firstLine="420" w:firstLineChars="200"/>
        <w:rPr>
          <w:rFonts w:ascii="宋体" w:hAnsi="宋体"/>
          <w:color w:val="000000"/>
          <w:szCs w:val="21"/>
        </w:rPr>
      </w:pPr>
      <w:r>
        <w:rPr>
          <w:rFonts w:hint="eastAsia" w:ascii="宋体" w:hAnsi="宋体"/>
          <w:color w:val="000000"/>
          <w:szCs w:val="21"/>
        </w:rPr>
        <w:t>4.知识产权托管：包括知识产权咨询（参见各咨询模块）、知识产权申请、知识产权维护、知识产权制度建设、知识产权转让与许可、知识产权战略规划、知识产权评估、品牌宣传和建设、知识产权侵权保护和维权、人才培训</w:t>
      </w:r>
    </w:p>
    <w:p>
      <w:pPr>
        <w:spacing w:line="560" w:lineRule="exact"/>
        <w:ind w:firstLine="420" w:firstLineChars="200"/>
        <w:rPr>
          <w:rFonts w:ascii="宋体" w:hAnsi="宋体"/>
          <w:color w:val="000000"/>
          <w:szCs w:val="21"/>
        </w:rPr>
      </w:pPr>
      <w:r>
        <w:rPr>
          <w:rFonts w:hint="eastAsia" w:ascii="宋体" w:hAnsi="宋体"/>
          <w:color w:val="000000"/>
          <w:szCs w:val="21"/>
        </w:rPr>
        <w:t>5.专利资产盘点：包括专利分级体系、专利分级数据库、发明人重要度分析、发明人所属团队分析、发明人流动性分析、发明人技术转移指标分析、发明人生命周期分析、专利申请质量评价、专利授权质量评价、代理机构撰写质量分析、代理机构服务响应速度分析、代理机构答复质量分析、代理机构授权率和驳回率分析、代理机构无效和诉讼服务分析、专利资金投入分析、相关人员投入分析、其他运营投入分析、专利申请和专利授权量关联性分析、专利运营分析、专利盈利模式分析；</w:t>
      </w:r>
    </w:p>
    <w:p>
      <w:pPr>
        <w:spacing w:line="560" w:lineRule="exact"/>
        <w:ind w:firstLine="420" w:firstLineChars="200"/>
        <w:rPr>
          <w:rFonts w:ascii="宋体" w:hAnsi="宋体"/>
          <w:color w:val="000000"/>
          <w:szCs w:val="21"/>
        </w:rPr>
      </w:pPr>
      <w:r>
        <w:rPr>
          <w:rFonts w:hint="eastAsia" w:ascii="宋体" w:hAnsi="宋体"/>
          <w:color w:val="000000"/>
          <w:szCs w:val="21"/>
        </w:rPr>
        <w:t>6.商业秘密：包括商业秘密管理体系建设、企业商业秘密排查、商业秘密保护规范、商业秘密保护培训；</w:t>
      </w:r>
    </w:p>
    <w:p>
      <w:pPr>
        <w:spacing w:line="560" w:lineRule="exact"/>
        <w:ind w:firstLine="420" w:firstLineChars="200"/>
        <w:rPr>
          <w:rFonts w:ascii="宋体" w:hAnsi="宋体"/>
          <w:color w:val="000000"/>
          <w:szCs w:val="21"/>
        </w:rPr>
      </w:pPr>
      <w:r>
        <w:rPr>
          <w:rFonts w:hint="eastAsia" w:ascii="宋体" w:hAnsi="宋体"/>
          <w:color w:val="000000"/>
          <w:szCs w:val="21"/>
        </w:rPr>
        <w:t>7.专利许可：包括专利价值评估、被许可方目标排查、被许可方尽职调查、许可费用谈判、专利许可合同立定；</w:t>
      </w:r>
    </w:p>
    <w:p>
      <w:pPr>
        <w:spacing w:line="560" w:lineRule="exact"/>
        <w:ind w:firstLine="420" w:firstLineChars="200"/>
        <w:rPr>
          <w:rFonts w:ascii="宋体" w:hAnsi="宋体"/>
          <w:color w:val="000000"/>
          <w:szCs w:val="21"/>
        </w:rPr>
      </w:pPr>
      <w:r>
        <w:rPr>
          <w:rFonts w:hint="eastAsia" w:ascii="宋体" w:hAnsi="宋体"/>
          <w:color w:val="000000"/>
          <w:szCs w:val="21"/>
        </w:rPr>
        <w:t>8.专利转让：包括专利价值评估、受让方目标排查、受让方尽职调查、转让费用谈判、专利许可合同立定；</w:t>
      </w:r>
    </w:p>
    <w:p>
      <w:pPr>
        <w:spacing w:line="560" w:lineRule="exact"/>
        <w:ind w:firstLine="420" w:firstLineChars="200"/>
        <w:rPr>
          <w:rFonts w:ascii="宋体" w:hAnsi="宋体"/>
          <w:color w:val="000000"/>
          <w:szCs w:val="21"/>
        </w:rPr>
      </w:pPr>
      <w:r>
        <w:rPr>
          <w:rFonts w:hint="eastAsia" w:ascii="宋体" w:hAnsi="宋体"/>
          <w:color w:val="000000"/>
          <w:szCs w:val="21"/>
        </w:rPr>
        <w:t>9.专利引进：包括目标专利排查、目标专利风险评估、专利价值评估、产业化评估、受让方尽职调查、引进费用谈判、专利引进合同立定；</w:t>
      </w:r>
    </w:p>
    <w:p>
      <w:pPr>
        <w:spacing w:line="560" w:lineRule="exact"/>
        <w:ind w:firstLine="420" w:firstLineChars="200"/>
        <w:rPr>
          <w:rFonts w:ascii="宋体" w:hAnsi="宋体"/>
          <w:color w:val="000000"/>
          <w:szCs w:val="21"/>
        </w:rPr>
      </w:pPr>
      <w:r>
        <w:rPr>
          <w:rFonts w:hint="eastAsia" w:ascii="宋体" w:hAnsi="宋体"/>
          <w:color w:val="000000"/>
          <w:szCs w:val="21"/>
        </w:rPr>
        <w:t>10.进出口风险评估：包括目标地知识产权状况分析、知识产权检索、侵权分析、风险规避方案、风险管理预警方案；</w:t>
      </w:r>
    </w:p>
    <w:p>
      <w:pPr>
        <w:spacing w:line="560" w:lineRule="exact"/>
        <w:ind w:firstLine="420" w:firstLineChars="200"/>
        <w:rPr>
          <w:rFonts w:ascii="宋体" w:hAnsi="宋体"/>
          <w:color w:val="000000"/>
          <w:szCs w:val="21"/>
        </w:rPr>
      </w:pPr>
      <w:r>
        <w:rPr>
          <w:rFonts w:hint="eastAsia" w:ascii="宋体" w:hAnsi="宋体"/>
          <w:color w:val="000000"/>
          <w:szCs w:val="21"/>
        </w:rPr>
        <w:t>11.产品上市风险评估：包括目标地知识产权状况分析、知识产权检索、侵权分析、风险规避方案、风险管理预警方案；</w:t>
      </w:r>
    </w:p>
    <w:p>
      <w:pPr>
        <w:spacing w:line="560" w:lineRule="exact"/>
        <w:ind w:firstLine="420" w:firstLineChars="200"/>
        <w:rPr>
          <w:rFonts w:ascii="宋体" w:hAnsi="宋体"/>
          <w:color w:val="000000"/>
          <w:szCs w:val="21"/>
        </w:rPr>
      </w:pPr>
      <w:r>
        <w:rPr>
          <w:rFonts w:hint="eastAsia" w:ascii="宋体" w:hAnsi="宋体"/>
          <w:color w:val="000000"/>
          <w:szCs w:val="21"/>
        </w:rPr>
        <w:t>12.企业并购风险评估：包括知识产权尽职调查、侵权风险评估、风险规避方案、风险管理预警方案；</w:t>
      </w:r>
    </w:p>
    <w:p>
      <w:pPr>
        <w:spacing w:line="560" w:lineRule="exact"/>
        <w:ind w:firstLine="420" w:firstLineChars="200"/>
        <w:rPr>
          <w:rFonts w:ascii="宋体" w:hAnsi="宋体"/>
          <w:color w:val="000000"/>
          <w:szCs w:val="21"/>
        </w:rPr>
      </w:pPr>
      <w:r>
        <w:rPr>
          <w:rFonts w:hint="eastAsia" w:ascii="宋体" w:hAnsi="宋体"/>
          <w:color w:val="000000"/>
          <w:szCs w:val="21"/>
        </w:rPr>
        <w:t>13.企业知识产权管理风险评估：包括人力资源管理风险评估、研发阶段风险评估、专利申请风险评估、产品上市风险评估、进出口风险评估、专利运用风险评估、企业重组风险评估、企业并购风险评估；</w:t>
      </w:r>
    </w:p>
    <w:p>
      <w:pPr>
        <w:spacing w:line="560" w:lineRule="exact"/>
        <w:ind w:firstLine="420" w:firstLineChars="200"/>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4</w:t>
      </w:r>
      <w:r>
        <w:rPr>
          <w:rFonts w:hint="eastAsia" w:ascii="宋体" w:hAnsi="宋体"/>
          <w:color w:val="000000"/>
          <w:szCs w:val="21"/>
        </w:rPr>
        <w:t>.专利诉讼：包括目标专利排查、专利检索和证据选择、诉讼策略分析、应诉操作；</w:t>
      </w:r>
    </w:p>
    <w:p>
      <w:pPr>
        <w:spacing w:line="560" w:lineRule="exact"/>
        <w:ind w:firstLine="420" w:firstLineChars="200"/>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5</w:t>
      </w:r>
      <w:r>
        <w:rPr>
          <w:rFonts w:hint="eastAsia" w:ascii="宋体" w:hAnsi="宋体"/>
          <w:color w:val="000000"/>
          <w:szCs w:val="21"/>
        </w:rPr>
        <w:t>.知识产权尽职调查：包括并购的交易结</w:t>
      </w:r>
      <w:bookmarkStart w:id="75" w:name="_GoBack"/>
      <w:bookmarkEnd w:id="75"/>
      <w:r>
        <w:rPr>
          <w:rFonts w:hint="eastAsia" w:ascii="宋体" w:hAnsi="宋体"/>
          <w:color w:val="000000"/>
          <w:szCs w:val="21"/>
        </w:rPr>
        <w:t>构调查、知识产权的有效性调查、知识产权权利人调查、知识产权保护范围调查、侵权行为调查、知识产权尽职调查报告；</w:t>
      </w:r>
    </w:p>
    <w:p>
      <w:pPr>
        <w:spacing w:line="560" w:lineRule="exact"/>
        <w:ind w:firstLine="420" w:firstLineChars="200"/>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6</w:t>
      </w:r>
      <w:r>
        <w:rPr>
          <w:rFonts w:hint="eastAsia" w:ascii="宋体" w:hAnsi="宋体"/>
          <w:color w:val="000000"/>
          <w:szCs w:val="21"/>
        </w:rPr>
        <w:t>.知识产权管理体系咨询：包括知识产权制度建设、知识产权战略规划、知识产权风险防控体系建设、商业秘密保护体系建设、知识产权申请流程体系建设、知识产权运营体系建设、知识产权保护和维权体系建设、知识产权人才培养体系建设。</w:t>
      </w:r>
    </w:p>
    <w:p>
      <w:pPr>
        <w:spacing w:line="560" w:lineRule="exact"/>
        <w:ind w:firstLine="442" w:firstLineChars="200"/>
        <w:rPr>
          <w:rFonts w:ascii="宋体" w:hAnsi="宋体"/>
          <w:b/>
          <w:color w:val="000000"/>
          <w:sz w:val="22"/>
        </w:rPr>
      </w:pPr>
      <w:r>
        <w:rPr>
          <w:rFonts w:hint="eastAsia" w:ascii="宋体" w:hAnsi="宋体"/>
          <w:b/>
          <w:color w:val="000000"/>
          <w:sz w:val="22"/>
        </w:rPr>
        <w:t>（五）专利数据服务</w:t>
      </w:r>
    </w:p>
    <w:p>
      <w:pPr>
        <w:spacing w:line="560" w:lineRule="exact"/>
        <w:ind w:firstLine="420" w:firstLineChars="200"/>
        <w:rPr>
          <w:rFonts w:ascii="宋体" w:hAnsi="宋体"/>
          <w:color w:val="000000"/>
          <w:szCs w:val="21"/>
        </w:rPr>
      </w:pPr>
      <w:r>
        <w:rPr>
          <w:rFonts w:hint="eastAsia" w:ascii="宋体" w:hAnsi="宋体"/>
          <w:color w:val="000000"/>
          <w:szCs w:val="21"/>
        </w:rPr>
        <w:t>1.基础数据服务：包括万象云专利检索数据库、其他商业数据库；</w:t>
      </w:r>
    </w:p>
    <w:p>
      <w:pPr>
        <w:spacing w:line="560" w:lineRule="exact"/>
        <w:ind w:firstLine="420" w:firstLineChars="200"/>
        <w:rPr>
          <w:rFonts w:ascii="宋体" w:hAnsi="宋体"/>
          <w:color w:val="000000"/>
          <w:szCs w:val="21"/>
        </w:rPr>
      </w:pPr>
      <w:r>
        <w:rPr>
          <w:rFonts w:hint="eastAsia" w:ascii="宋体" w:hAnsi="宋体"/>
          <w:color w:val="000000"/>
          <w:szCs w:val="21"/>
        </w:rPr>
        <w:t>2.专题数据库：包括技术导航、专利数据标引、竞争对手分析模块、发明人分析模块、技术主题分析模块、专利布局分析模块、法律状态分析模块、专利运营分析模块。</w:t>
      </w:r>
    </w:p>
    <w:p>
      <w:pPr>
        <w:pStyle w:val="18"/>
        <w:numPr>
          <w:ilvl w:val="0"/>
          <w:numId w:val="0"/>
        </w:numPr>
        <w:snapToGrid w:val="0"/>
        <w:spacing w:line="560" w:lineRule="exact"/>
        <w:ind w:firstLine="417" w:firstLineChars="198"/>
        <w:outlineLvl w:val="0"/>
        <w:rPr>
          <w:b/>
          <w:bCs/>
          <w:kern w:val="0"/>
        </w:rPr>
      </w:pPr>
      <w:r>
        <w:rPr>
          <w:rFonts w:hint="eastAsia"/>
          <w:b/>
          <w:bCs/>
          <w:kern w:val="0"/>
        </w:rPr>
        <w:t>4. 服务团队</w:t>
      </w:r>
    </w:p>
    <w:p>
      <w:pPr>
        <w:pStyle w:val="18"/>
        <w:numPr>
          <w:ilvl w:val="0"/>
          <w:numId w:val="0"/>
        </w:numPr>
        <w:snapToGrid w:val="0"/>
        <w:spacing w:line="560" w:lineRule="exact"/>
        <w:ind w:firstLine="420" w:firstLineChars="200"/>
      </w:pPr>
      <w:r>
        <w:rPr>
          <w:rFonts w:hint="eastAsia"/>
        </w:rPr>
        <w:t>4.1</w:t>
      </w:r>
      <w:r>
        <w:rPr>
          <w:rFonts w:hint="eastAsia"/>
          <w:kern w:val="0"/>
        </w:rPr>
        <w:t>乙方提供的服务团队应在知识产权服务代理业务中具有较高的专业素质及丰富的实践经验</w:t>
      </w:r>
      <w:r>
        <w:rPr>
          <w:rFonts w:hint="eastAsia"/>
        </w:rPr>
        <w:t>。乙方指定</w:t>
      </w:r>
      <w:r>
        <w:rPr>
          <w:rFonts w:hint="eastAsia"/>
          <w:u w:val="single"/>
        </w:rPr>
        <w:t xml:space="preserve"> 徐彬 </w:t>
      </w:r>
      <w:r>
        <w:rPr>
          <w:rFonts w:hint="eastAsia"/>
        </w:rPr>
        <w:t>（职务</w:t>
      </w:r>
      <w:r>
        <w:rPr>
          <w:rFonts w:hint="eastAsia"/>
          <w:u w:val="single"/>
        </w:rPr>
        <w:t xml:space="preserve"> 资深知识产权规划师</w:t>
      </w:r>
      <w:r>
        <w:rPr>
          <w:rFonts w:hint="eastAsia"/>
        </w:rPr>
        <w:t>；工作电话</w:t>
      </w:r>
      <w:r>
        <w:rPr>
          <w:rFonts w:hint="eastAsia"/>
          <w:u w:val="single"/>
        </w:rPr>
        <w:t xml:space="preserve"> 010-88389908 </w:t>
      </w:r>
      <w:r>
        <w:rPr>
          <w:rFonts w:hint="eastAsia"/>
        </w:rPr>
        <w:t>；手机</w:t>
      </w:r>
      <w:r>
        <w:rPr>
          <w:rFonts w:hint="eastAsia"/>
          <w:u w:val="single"/>
        </w:rPr>
        <w:t xml:space="preserve"> 13911537050 </w:t>
      </w:r>
      <w:r>
        <w:rPr>
          <w:rFonts w:hint="eastAsia"/>
        </w:rPr>
        <w:t>；邮箱</w:t>
      </w:r>
      <w:r>
        <w:rPr>
          <w:rFonts w:hint="eastAsia"/>
          <w:u w:val="single"/>
        </w:rPr>
        <w:t xml:space="preserve"> bingo.xu@chofn,com </w:t>
      </w:r>
      <w:r>
        <w:rPr>
          <w:rFonts w:hint="eastAsia"/>
        </w:rPr>
        <w:t>）与甲方进行日常联络与沟通。</w:t>
      </w:r>
    </w:p>
    <w:p>
      <w:pPr>
        <w:pStyle w:val="18"/>
        <w:numPr>
          <w:ilvl w:val="0"/>
          <w:numId w:val="0"/>
        </w:numPr>
        <w:snapToGrid w:val="0"/>
        <w:spacing w:line="560" w:lineRule="exact"/>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4.2</w:t>
      </w:r>
      <w:r>
        <w:rPr>
          <w:color w:val="000000" w:themeColor="text1"/>
          <w:kern w:val="0"/>
          <w14:textFill>
            <w14:solidFill>
              <w14:schemeClr w14:val="tx1"/>
            </w14:solidFill>
          </w14:textFill>
        </w:rPr>
        <w:t>乙方如发生专</w:t>
      </w:r>
      <w:r>
        <w:rPr>
          <w:rFonts w:hint="eastAsia"/>
          <w:color w:val="000000" w:themeColor="text1"/>
          <w:kern w:val="0"/>
          <w14:textFill>
            <w14:solidFill>
              <w14:schemeClr w14:val="tx1"/>
            </w14:solidFill>
          </w14:textFill>
        </w:rPr>
        <w:t>业服务人员</w:t>
      </w:r>
      <w:r>
        <w:rPr>
          <w:color w:val="000000" w:themeColor="text1"/>
          <w:kern w:val="0"/>
          <w14:textFill>
            <w14:solidFill>
              <w14:schemeClr w14:val="tx1"/>
            </w14:solidFill>
          </w14:textFill>
        </w:rPr>
        <w:t>离职或因自己健康等客观原因不能正常提供服务的情况，应当及时补充、更换具有同等资质、业绩的人员，保证不影响</w:t>
      </w:r>
      <w:r>
        <w:rPr>
          <w:rFonts w:hint="eastAsia"/>
          <w:color w:val="000000" w:themeColor="text1"/>
          <w:kern w:val="0"/>
          <w14:textFill>
            <w14:solidFill>
              <w14:schemeClr w14:val="tx1"/>
            </w14:solidFill>
          </w14:textFill>
        </w:rPr>
        <w:t>履</w:t>
      </w:r>
      <w:r>
        <w:rPr>
          <w:color w:val="000000" w:themeColor="text1"/>
          <w:kern w:val="0"/>
          <w14:textFill>
            <w14:solidFill>
              <w14:schemeClr w14:val="tx1"/>
            </w14:solidFill>
          </w14:textFill>
        </w:rPr>
        <w:t>行本框架协议项下的权利和义务，且相关变更事项全部经甲方同意方可继续履行。</w:t>
      </w:r>
    </w:p>
    <w:p>
      <w:pPr>
        <w:pStyle w:val="18"/>
        <w:numPr>
          <w:ilvl w:val="0"/>
          <w:numId w:val="0"/>
        </w:numPr>
        <w:snapToGrid w:val="0"/>
        <w:spacing w:line="560" w:lineRule="exact"/>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4.3如甲方认为乙方服务人员不合格，甲方有权</w:t>
      </w:r>
      <w:r>
        <w:rPr>
          <w:rFonts w:hint="eastAsia"/>
          <w:color w:val="000000" w:themeColor="text1"/>
          <w:kern w:val="0"/>
          <w:lang w:eastAsia="zh-CN"/>
          <w14:textFill>
            <w14:solidFill>
              <w14:schemeClr w14:val="tx1"/>
            </w14:solidFill>
          </w14:textFill>
        </w:rPr>
        <w:t>提前三个工作日向乙方书面</w:t>
      </w:r>
      <w:r>
        <w:rPr>
          <w:rFonts w:hint="eastAsia"/>
          <w:color w:val="000000" w:themeColor="text1"/>
          <w:kern w:val="0"/>
          <w14:textFill>
            <w14:solidFill>
              <w14:schemeClr w14:val="tx1"/>
            </w14:solidFill>
          </w14:textFill>
        </w:rPr>
        <w:t>提出更换人员。</w:t>
      </w:r>
    </w:p>
    <w:p>
      <w:pPr>
        <w:pStyle w:val="18"/>
        <w:numPr>
          <w:ilvl w:val="0"/>
          <w:numId w:val="0"/>
        </w:numPr>
        <w:snapToGrid w:val="0"/>
        <w:spacing w:line="560" w:lineRule="exact"/>
        <w:ind w:left="705" w:leftChars="200" w:hanging="285" w:hangingChars="135"/>
        <w:rPr>
          <w:b/>
          <w:bCs/>
          <w:kern w:val="0"/>
        </w:rPr>
      </w:pPr>
      <w:r>
        <w:rPr>
          <w:rFonts w:hint="eastAsia"/>
          <w:b/>
          <w:bCs/>
          <w:kern w:val="0"/>
        </w:rPr>
        <w:t>5.</w:t>
      </w:r>
      <w:r>
        <w:rPr>
          <w:b/>
          <w:bCs/>
          <w:kern w:val="0"/>
        </w:rPr>
        <w:t>框架协议有效期限</w:t>
      </w:r>
    </w:p>
    <w:p>
      <w:pPr>
        <w:pStyle w:val="18"/>
        <w:numPr>
          <w:ilvl w:val="0"/>
          <w:numId w:val="0"/>
        </w:numPr>
        <w:snapToGrid w:val="0"/>
        <w:spacing w:line="560" w:lineRule="exact"/>
        <w:rPr>
          <w:kern w:val="0"/>
        </w:rPr>
      </w:pPr>
      <w:r>
        <w:rPr>
          <w:kern w:val="0"/>
        </w:rPr>
        <w:t xml:space="preserve">   </w:t>
      </w:r>
      <w:r>
        <w:rPr>
          <w:rFonts w:hint="eastAsia"/>
          <w:kern w:val="0"/>
        </w:rPr>
        <w:t xml:space="preserve"> </w:t>
      </w:r>
      <w:r>
        <w:rPr>
          <w:kern w:val="0"/>
        </w:rPr>
        <w:t>本框架协议有效期限为</w:t>
      </w:r>
      <w:r>
        <w:rPr>
          <w:kern w:val="0"/>
          <w:u w:val="single"/>
        </w:rPr>
        <w:t xml:space="preserve"> </w:t>
      </w:r>
      <w:r>
        <w:rPr>
          <w:rFonts w:hint="eastAsia"/>
          <w:kern w:val="0"/>
          <w:u w:val="single"/>
        </w:rPr>
        <w:t xml:space="preserve">  1 年 </w:t>
      </w:r>
      <w:r>
        <w:rPr>
          <w:kern w:val="0"/>
          <w:u w:val="single"/>
        </w:rPr>
        <w:t xml:space="preserve"> </w:t>
      </w:r>
      <w:r>
        <w:rPr>
          <w:kern w:val="0"/>
        </w:rPr>
        <w:t xml:space="preserve">，即从 </w:t>
      </w:r>
      <w:r>
        <w:rPr>
          <w:kern w:val="0"/>
          <w:u w:val="single"/>
        </w:rPr>
        <w:t xml:space="preserve"> </w:t>
      </w:r>
      <w:r>
        <w:rPr>
          <w:rFonts w:hint="eastAsia"/>
          <w:kern w:val="0"/>
          <w:u w:val="single"/>
        </w:rPr>
        <w:t xml:space="preserve"> 2019</w:t>
      </w:r>
      <w:r>
        <w:rPr>
          <w:kern w:val="0"/>
          <w:u w:val="single"/>
        </w:rPr>
        <w:t xml:space="preserve">  </w:t>
      </w:r>
      <w:r>
        <w:rPr>
          <w:kern w:val="0"/>
        </w:rPr>
        <w:t>年</w:t>
      </w:r>
      <w:r>
        <w:rPr>
          <w:kern w:val="0"/>
          <w:u w:val="single"/>
        </w:rPr>
        <w:t xml:space="preserve">  </w:t>
      </w:r>
      <w:r>
        <w:rPr>
          <w:rFonts w:hint="eastAsia"/>
          <w:kern w:val="0"/>
          <w:u w:val="single"/>
        </w:rPr>
        <w:t>11</w:t>
      </w:r>
      <w:r>
        <w:rPr>
          <w:kern w:val="0"/>
          <w:u w:val="single"/>
        </w:rPr>
        <w:t xml:space="preserve">  </w:t>
      </w:r>
      <w:r>
        <w:rPr>
          <w:kern w:val="0"/>
        </w:rPr>
        <w:t>月</w:t>
      </w:r>
      <w:r>
        <w:rPr>
          <w:kern w:val="0"/>
          <w:u w:val="single"/>
        </w:rPr>
        <w:t xml:space="preserve">   </w:t>
      </w:r>
      <w:r>
        <w:rPr>
          <w:rFonts w:hint="eastAsia"/>
          <w:kern w:val="0"/>
          <w:u w:val="single"/>
        </w:rPr>
        <w:t>30</w:t>
      </w:r>
      <w:r>
        <w:rPr>
          <w:kern w:val="0"/>
          <w:u w:val="single"/>
        </w:rPr>
        <w:t xml:space="preserve">   </w:t>
      </w:r>
      <w:r>
        <w:rPr>
          <w:kern w:val="0"/>
        </w:rPr>
        <w:t xml:space="preserve">日至  </w:t>
      </w:r>
      <w:r>
        <w:rPr>
          <w:kern w:val="0"/>
          <w:u w:val="single"/>
        </w:rPr>
        <w:t xml:space="preserve">    </w:t>
      </w:r>
      <w:r>
        <w:rPr>
          <w:rFonts w:hint="eastAsia"/>
          <w:kern w:val="0"/>
          <w:u w:val="single"/>
        </w:rPr>
        <w:t>2020</w:t>
      </w:r>
      <w:r>
        <w:rPr>
          <w:kern w:val="0"/>
          <w:u w:val="single"/>
        </w:rPr>
        <w:t xml:space="preserve">  </w:t>
      </w:r>
      <w:r>
        <w:rPr>
          <w:kern w:val="0"/>
        </w:rPr>
        <w:t>年</w:t>
      </w:r>
      <w:r>
        <w:rPr>
          <w:kern w:val="0"/>
          <w:u w:val="single"/>
        </w:rPr>
        <w:t xml:space="preserve">  </w:t>
      </w:r>
      <w:r>
        <w:rPr>
          <w:rFonts w:hint="eastAsia"/>
          <w:kern w:val="0"/>
          <w:u w:val="single"/>
        </w:rPr>
        <w:t>11</w:t>
      </w:r>
      <w:r>
        <w:rPr>
          <w:kern w:val="0"/>
          <w:u w:val="single"/>
        </w:rPr>
        <w:t xml:space="preserve">  </w:t>
      </w:r>
      <w:r>
        <w:rPr>
          <w:kern w:val="0"/>
        </w:rPr>
        <w:t xml:space="preserve"> 月</w:t>
      </w:r>
      <w:r>
        <w:rPr>
          <w:kern w:val="0"/>
          <w:u w:val="single"/>
        </w:rPr>
        <w:t xml:space="preserve">   </w:t>
      </w:r>
      <w:r>
        <w:rPr>
          <w:rFonts w:hint="eastAsia"/>
          <w:kern w:val="0"/>
          <w:u w:val="single"/>
        </w:rPr>
        <w:t>29</w:t>
      </w:r>
      <w:r>
        <w:rPr>
          <w:kern w:val="0"/>
          <w:u w:val="single"/>
        </w:rPr>
        <w:t xml:space="preserve">  </w:t>
      </w:r>
      <w:r>
        <w:rPr>
          <w:kern w:val="0"/>
        </w:rPr>
        <w:t xml:space="preserve"> 日。在有效期内，乙方发生协议第</w:t>
      </w:r>
      <w:r>
        <w:rPr>
          <w:rFonts w:hint="eastAsia"/>
          <w:kern w:val="0"/>
        </w:rPr>
        <w:t>9</w:t>
      </w:r>
      <w:r>
        <w:rPr>
          <w:kern w:val="0"/>
        </w:rPr>
        <w:t>条</w:t>
      </w:r>
      <w:r>
        <w:rPr>
          <w:rFonts w:hint="eastAsia"/>
          <w:kern w:val="0"/>
        </w:rPr>
        <w:t>规定</w:t>
      </w:r>
      <w:r>
        <w:rPr>
          <w:kern w:val="0"/>
        </w:rPr>
        <w:t>的</w:t>
      </w:r>
      <w:r>
        <w:rPr>
          <w:rFonts w:hint="eastAsia"/>
          <w:kern w:val="0"/>
        </w:rPr>
        <w:t>情形</w:t>
      </w:r>
      <w:r>
        <w:rPr>
          <w:kern w:val="0"/>
        </w:rPr>
        <w:t>，甲方有权单方通知乙方退出机构库。</w:t>
      </w:r>
    </w:p>
    <w:p>
      <w:pPr>
        <w:spacing w:line="540" w:lineRule="exact"/>
        <w:ind w:firstLine="420" w:firstLineChars="199"/>
        <w:rPr>
          <w:rFonts w:ascii="宋体" w:hAnsi="宋体"/>
          <w:b/>
          <w:kern w:val="0"/>
          <w:szCs w:val="21"/>
        </w:rPr>
      </w:pPr>
      <w:r>
        <w:rPr>
          <w:rFonts w:hint="eastAsia" w:ascii="宋体" w:hAnsi="宋体"/>
          <w:b/>
          <w:kern w:val="0"/>
          <w:szCs w:val="21"/>
        </w:rPr>
        <w:t>6</w:t>
      </w:r>
      <w:r>
        <w:rPr>
          <w:rFonts w:ascii="宋体" w:hAnsi="宋体"/>
          <w:b/>
          <w:kern w:val="0"/>
          <w:szCs w:val="21"/>
        </w:rPr>
        <w:t>.</w:t>
      </w:r>
      <w:r>
        <w:rPr>
          <w:rFonts w:hint="eastAsia" w:ascii="宋体" w:hAnsi="宋体"/>
          <w:b/>
          <w:kern w:val="0"/>
          <w:szCs w:val="21"/>
        </w:rPr>
        <w:t>付款方式</w:t>
      </w:r>
    </w:p>
    <w:p>
      <w:pPr>
        <w:pStyle w:val="18"/>
        <w:numPr>
          <w:ilvl w:val="0"/>
          <w:numId w:val="0"/>
        </w:numPr>
        <w:snapToGrid w:val="0"/>
        <w:spacing w:line="560" w:lineRule="exact"/>
        <w:ind w:firstLine="420" w:firstLineChars="200"/>
        <w:rPr>
          <w:kern w:val="0"/>
        </w:rPr>
      </w:pPr>
      <w:r>
        <w:rPr>
          <w:rFonts w:hint="eastAsia"/>
          <w:kern w:val="0"/>
        </w:rPr>
        <w:t>乙方的代理费用按项结算。当次业务办理结束后，由乙方出具正式发票及确认单（见附件），经甲方书面确认后且收到乙方开具的正式发票之日起15个工作日内，甲方将当次应支付款项通过下述账户支付给乙方。</w:t>
      </w:r>
    </w:p>
    <w:p>
      <w:pPr>
        <w:pStyle w:val="18"/>
        <w:numPr>
          <w:ilvl w:val="0"/>
          <w:numId w:val="0"/>
        </w:numPr>
        <w:snapToGrid w:val="0"/>
        <w:spacing w:line="560" w:lineRule="exact"/>
        <w:ind w:firstLine="420" w:firstLineChars="200"/>
        <w:rPr>
          <w:kern w:val="0"/>
        </w:rPr>
      </w:pPr>
      <w:r>
        <w:rPr>
          <w:kern w:val="0"/>
        </w:rPr>
        <w:t>户  名：</w:t>
      </w:r>
      <w:r>
        <w:rPr>
          <w:rFonts w:hint="eastAsia"/>
          <w:kern w:val="0"/>
        </w:rPr>
        <w:t xml:space="preserve">北京超凡宏宇专利代理事务所（特殊普通合伙）  </w:t>
      </w:r>
    </w:p>
    <w:p>
      <w:pPr>
        <w:pStyle w:val="18"/>
        <w:numPr>
          <w:ilvl w:val="0"/>
          <w:numId w:val="0"/>
        </w:numPr>
        <w:snapToGrid w:val="0"/>
        <w:spacing w:line="560" w:lineRule="exact"/>
        <w:ind w:firstLine="420" w:firstLineChars="200"/>
        <w:rPr>
          <w:kern w:val="0"/>
        </w:rPr>
      </w:pPr>
      <w:r>
        <w:rPr>
          <w:kern w:val="0"/>
        </w:rPr>
        <w:t>开户行：</w:t>
      </w:r>
      <w:r>
        <w:rPr>
          <w:rFonts w:hint="eastAsia"/>
          <w:kern w:val="0"/>
        </w:rPr>
        <w:t xml:space="preserve">兴业银行股份有限公司北京海淀支行            </w:t>
      </w:r>
    </w:p>
    <w:p>
      <w:pPr>
        <w:pStyle w:val="18"/>
        <w:numPr>
          <w:ilvl w:val="0"/>
          <w:numId w:val="0"/>
        </w:numPr>
        <w:snapToGrid w:val="0"/>
        <w:spacing w:line="560" w:lineRule="exact"/>
        <w:ind w:firstLine="420" w:firstLineChars="200"/>
        <w:rPr>
          <w:kern w:val="0"/>
        </w:rPr>
      </w:pPr>
      <w:r>
        <w:rPr>
          <w:kern w:val="0"/>
        </w:rPr>
        <w:t>账  号：321230100100274091</w:t>
      </w:r>
      <w:r>
        <w:rPr>
          <w:rFonts w:hint="eastAsia"/>
          <w:kern w:val="0"/>
        </w:rPr>
        <w:t xml:space="preserve">                      </w:t>
      </w:r>
    </w:p>
    <w:p>
      <w:pPr>
        <w:pStyle w:val="18"/>
        <w:numPr>
          <w:ilvl w:val="0"/>
          <w:numId w:val="0"/>
        </w:numPr>
        <w:snapToGrid w:val="0"/>
        <w:spacing w:line="560" w:lineRule="exact"/>
        <w:ind w:firstLine="420" w:firstLineChars="200"/>
        <w:rPr>
          <w:kern w:val="0"/>
        </w:rPr>
      </w:pPr>
      <w:r>
        <w:rPr>
          <w:kern w:val="0"/>
        </w:rPr>
        <w:t>行  号：309100001233</w:t>
      </w:r>
      <w:r>
        <w:rPr>
          <w:rFonts w:hint="eastAsia"/>
          <w:kern w:val="0"/>
        </w:rPr>
        <w:t xml:space="preserve">                         </w:t>
      </w:r>
    </w:p>
    <w:p>
      <w:pPr>
        <w:pStyle w:val="18"/>
        <w:numPr>
          <w:ilvl w:val="0"/>
          <w:numId w:val="0"/>
        </w:numPr>
        <w:snapToGrid w:val="0"/>
        <w:spacing w:line="560" w:lineRule="exact"/>
        <w:ind w:firstLine="413" w:firstLineChars="196"/>
        <w:outlineLvl w:val="0"/>
        <w:rPr>
          <w:b/>
          <w:bCs/>
          <w:kern w:val="0"/>
        </w:rPr>
      </w:pPr>
      <w:r>
        <w:rPr>
          <w:rFonts w:hint="eastAsia"/>
          <w:b/>
          <w:bCs/>
          <w:kern w:val="0"/>
        </w:rPr>
        <w:t>7</w:t>
      </w:r>
      <w:r>
        <w:rPr>
          <w:b/>
          <w:bCs/>
          <w:kern w:val="0"/>
        </w:rPr>
        <w:t>.乙方承诺和保证</w:t>
      </w:r>
    </w:p>
    <w:p>
      <w:pPr>
        <w:pStyle w:val="18"/>
        <w:numPr>
          <w:ilvl w:val="0"/>
          <w:numId w:val="0"/>
        </w:numPr>
        <w:snapToGrid w:val="0"/>
        <w:spacing w:line="560" w:lineRule="exact"/>
        <w:rPr>
          <w:kern w:val="0"/>
        </w:rPr>
      </w:pPr>
      <w:r>
        <w:rPr>
          <w:kern w:val="0"/>
        </w:rPr>
        <w:t xml:space="preserve">  </w:t>
      </w:r>
      <w:r>
        <w:rPr>
          <w:rFonts w:hint="eastAsia"/>
          <w:kern w:val="0"/>
        </w:rPr>
        <w:t xml:space="preserve"> </w:t>
      </w:r>
      <w:r>
        <w:rPr>
          <w:kern w:val="0"/>
        </w:rPr>
        <w:t xml:space="preserve"> </w:t>
      </w:r>
      <w:r>
        <w:rPr>
          <w:rFonts w:hint="eastAsia"/>
          <w:kern w:val="0"/>
        </w:rPr>
        <w:t>7</w:t>
      </w:r>
      <w:r>
        <w:rPr>
          <w:kern w:val="0"/>
        </w:rPr>
        <w:t>.1遵守</w:t>
      </w:r>
      <w:r>
        <w:rPr>
          <w:rFonts w:hint="eastAsia"/>
          <w:kern w:val="0"/>
        </w:rPr>
        <w:t>双方文件要求</w:t>
      </w:r>
      <w:r>
        <w:rPr>
          <w:kern w:val="0"/>
        </w:rPr>
        <w:t>及本框架协议约定的所有承诺</w:t>
      </w:r>
      <w:r>
        <w:rPr>
          <w:rFonts w:hint="eastAsia"/>
          <w:kern w:val="0"/>
        </w:rPr>
        <w:t>，但具体服务内容及服务标准，应以后续签订的专项服务协议为准，当本协议与具体服务协议约定产生冲突时，应优先适用具体服务协议的规定</w:t>
      </w:r>
      <w:r>
        <w:rPr>
          <w:kern w:val="0"/>
        </w:rPr>
        <w:t>；</w:t>
      </w:r>
    </w:p>
    <w:p>
      <w:pPr>
        <w:pStyle w:val="18"/>
        <w:numPr>
          <w:ilvl w:val="0"/>
          <w:numId w:val="0"/>
        </w:numPr>
        <w:snapToGrid w:val="0"/>
        <w:spacing w:line="560" w:lineRule="exact"/>
        <w:rPr>
          <w:kern w:val="0"/>
        </w:rPr>
      </w:pPr>
      <w:r>
        <w:rPr>
          <w:kern w:val="0"/>
        </w:rPr>
        <w:t xml:space="preserve">  </w:t>
      </w:r>
      <w:r>
        <w:rPr>
          <w:rFonts w:hint="eastAsia"/>
          <w:kern w:val="0"/>
        </w:rPr>
        <w:t xml:space="preserve"> </w:t>
      </w:r>
      <w:r>
        <w:rPr>
          <w:kern w:val="0"/>
        </w:rPr>
        <w:t xml:space="preserve"> </w:t>
      </w:r>
      <w:r>
        <w:rPr>
          <w:rFonts w:hint="eastAsia"/>
          <w:kern w:val="0"/>
        </w:rPr>
        <w:t>7</w:t>
      </w:r>
      <w:r>
        <w:rPr>
          <w:kern w:val="0"/>
        </w:rPr>
        <w:t xml:space="preserve">.2准确理解和掌握了本框架协议的功用、业务机会和履行结果。 </w:t>
      </w:r>
    </w:p>
    <w:p>
      <w:pPr>
        <w:pStyle w:val="18"/>
        <w:numPr>
          <w:ilvl w:val="0"/>
          <w:numId w:val="0"/>
        </w:numPr>
        <w:snapToGrid w:val="0"/>
        <w:spacing w:line="560" w:lineRule="exact"/>
        <w:rPr>
          <w:kern w:val="0"/>
        </w:rPr>
      </w:pPr>
      <w:r>
        <w:rPr>
          <w:kern w:val="0"/>
        </w:rPr>
        <w:t xml:space="preserve">  </w:t>
      </w:r>
      <w:r>
        <w:rPr>
          <w:rFonts w:hint="eastAsia"/>
          <w:kern w:val="0"/>
        </w:rPr>
        <w:t xml:space="preserve"> </w:t>
      </w:r>
      <w:r>
        <w:rPr>
          <w:kern w:val="0"/>
        </w:rPr>
        <w:t xml:space="preserve"> </w:t>
      </w:r>
      <w:r>
        <w:rPr>
          <w:rFonts w:hint="eastAsia"/>
          <w:kern w:val="0"/>
        </w:rPr>
        <w:t>7</w:t>
      </w:r>
      <w:r>
        <w:rPr>
          <w:kern w:val="0"/>
        </w:rPr>
        <w:t>.3 在与</w:t>
      </w:r>
      <w:r>
        <w:rPr>
          <w:rFonts w:hint="eastAsia"/>
          <w:kern w:val="0"/>
        </w:rPr>
        <w:t>甲方</w:t>
      </w:r>
      <w:r>
        <w:rPr>
          <w:kern w:val="0"/>
        </w:rPr>
        <w:t>及其所属单位商谈具体的</w:t>
      </w:r>
      <w:r>
        <w:rPr>
          <w:rFonts w:hint="eastAsia"/>
          <w:kern w:val="0"/>
        </w:rPr>
        <w:t>知识产权业务代理</w:t>
      </w:r>
      <w:r>
        <w:rPr>
          <w:kern w:val="0"/>
        </w:rPr>
        <w:t>合同时应严格遵守本框架协议的约定。</w:t>
      </w:r>
    </w:p>
    <w:p>
      <w:pPr>
        <w:pStyle w:val="18"/>
        <w:numPr>
          <w:ilvl w:val="0"/>
          <w:numId w:val="0"/>
        </w:numPr>
        <w:snapToGrid w:val="0"/>
        <w:spacing w:line="560" w:lineRule="exact"/>
      </w:pPr>
      <w:r>
        <w:rPr>
          <w:rFonts w:hint="eastAsia"/>
          <w:kern w:val="0"/>
        </w:rPr>
        <w:t xml:space="preserve">    7.4 </w:t>
      </w:r>
      <w:r>
        <w:rPr>
          <w:rFonts w:hint="eastAsia"/>
        </w:rPr>
        <w:t>与甲方协商，明确项目所需的资料和项目开展时间、范围和人员。</w:t>
      </w:r>
    </w:p>
    <w:p>
      <w:pPr>
        <w:pStyle w:val="18"/>
        <w:numPr>
          <w:ilvl w:val="0"/>
          <w:numId w:val="0"/>
        </w:numPr>
        <w:snapToGrid w:val="0"/>
        <w:spacing w:line="560" w:lineRule="exact"/>
      </w:pPr>
      <w:r>
        <w:rPr>
          <w:rFonts w:hint="eastAsia"/>
        </w:rPr>
        <w:t xml:space="preserve">    7.5</w:t>
      </w:r>
      <w:r>
        <w:t xml:space="preserve"> </w:t>
      </w:r>
      <w:r>
        <w:rPr>
          <w:rFonts w:hint="eastAsia"/>
        </w:rPr>
        <w:t>乙方须在甲方授权范围内开展知识产权代理业务，指导并协助甲方知识产权注册申请，尽力帮助甲方提升知识产权注册申请质量。</w:t>
      </w:r>
    </w:p>
    <w:p>
      <w:pPr>
        <w:pStyle w:val="18"/>
        <w:numPr>
          <w:ilvl w:val="0"/>
          <w:numId w:val="0"/>
        </w:numPr>
        <w:snapToGrid w:val="0"/>
        <w:spacing w:line="560" w:lineRule="exact"/>
        <w:ind w:left="707" w:leftChars="200" w:hanging="287" w:hangingChars="137"/>
      </w:pPr>
      <w:r>
        <w:rPr>
          <w:rFonts w:hint="eastAsia"/>
        </w:rPr>
        <w:t>7</w:t>
      </w:r>
      <w:r>
        <w:t>.</w:t>
      </w:r>
      <w:r>
        <w:rPr>
          <w:rFonts w:hint="eastAsia"/>
        </w:rPr>
        <w:t>6乙方就甲方日常业务中涉及到的知识产权法律问题，提供专业咨询。</w:t>
      </w:r>
    </w:p>
    <w:p>
      <w:pPr>
        <w:pStyle w:val="18"/>
        <w:numPr>
          <w:ilvl w:val="0"/>
          <w:numId w:val="0"/>
        </w:numPr>
        <w:snapToGrid w:val="0"/>
        <w:spacing w:line="560" w:lineRule="exact"/>
        <w:ind w:left="0" w:leftChars="0" w:firstLine="420" w:firstLineChars="200"/>
      </w:pPr>
      <w:r>
        <w:rPr>
          <w:rFonts w:hint="eastAsia"/>
        </w:rPr>
        <w:t>7</w:t>
      </w:r>
      <w:r>
        <w:t>.</w:t>
      </w:r>
      <w:r>
        <w:rPr>
          <w:rFonts w:hint="eastAsia"/>
        </w:rPr>
        <w:t>7乙方在为甲方开展业务活动时需遵守甲方的相关规定，并在不影响业务正常开展的前提下接受甲方的监督。</w:t>
      </w:r>
    </w:p>
    <w:p>
      <w:pPr>
        <w:pStyle w:val="18"/>
        <w:numPr>
          <w:ilvl w:val="0"/>
          <w:numId w:val="0"/>
        </w:numPr>
        <w:snapToGrid w:val="0"/>
        <w:spacing w:line="560" w:lineRule="exact"/>
        <w:ind w:firstLine="420" w:firstLineChars="200"/>
      </w:pPr>
      <w:r>
        <w:rPr>
          <w:rFonts w:hint="eastAsia"/>
        </w:rPr>
        <w:t>7</w:t>
      </w:r>
      <w:r>
        <w:t>.</w:t>
      </w:r>
      <w:r>
        <w:rPr>
          <w:rFonts w:hint="eastAsia"/>
        </w:rPr>
        <w:t>8乙方须配合甲方做好知识产权保护措施工作，根据甲方需要委派知识产权顾问到现场进行咨询，提出知识产权保护的具体建议。</w:t>
      </w:r>
    </w:p>
    <w:p>
      <w:pPr>
        <w:pStyle w:val="18"/>
        <w:numPr>
          <w:ilvl w:val="0"/>
          <w:numId w:val="0"/>
        </w:numPr>
        <w:snapToGrid w:val="0"/>
        <w:spacing w:line="560" w:lineRule="exact"/>
        <w:ind w:firstLine="420" w:firstLineChars="200"/>
      </w:pPr>
      <w:r>
        <w:rPr>
          <w:rFonts w:hint="eastAsia"/>
        </w:rPr>
        <w:t>7</w:t>
      </w:r>
      <w:r>
        <w:t>.</w:t>
      </w:r>
      <w:r>
        <w:rPr>
          <w:rFonts w:hint="eastAsia"/>
        </w:rPr>
        <w:t>9乙方须接受甲方委托，对侵犯其知识产权的行为进行侵权调查、协助制订和实施反侵权行动；</w:t>
      </w:r>
    </w:p>
    <w:p>
      <w:pPr>
        <w:pStyle w:val="18"/>
        <w:numPr>
          <w:ilvl w:val="0"/>
          <w:numId w:val="0"/>
        </w:numPr>
        <w:snapToGrid w:val="0"/>
        <w:spacing w:line="560" w:lineRule="exact"/>
        <w:ind w:firstLine="420" w:firstLineChars="200"/>
      </w:pPr>
      <w:r>
        <w:rPr>
          <w:rFonts w:hint="eastAsia"/>
        </w:rPr>
        <w:t>7.10未经甲方书面同意，乙方不可转包、分包本合同知识产权代理服务。</w:t>
      </w:r>
    </w:p>
    <w:p>
      <w:pPr>
        <w:pStyle w:val="18"/>
        <w:numPr>
          <w:ilvl w:val="0"/>
          <w:numId w:val="0"/>
        </w:numPr>
        <w:snapToGrid w:val="0"/>
        <w:spacing w:line="560" w:lineRule="exact"/>
        <w:outlineLvl w:val="0"/>
        <w:rPr>
          <w:b/>
          <w:bCs/>
          <w:kern w:val="0"/>
        </w:rPr>
      </w:pPr>
      <w:r>
        <w:rPr>
          <w:b/>
          <w:kern w:val="0"/>
        </w:rPr>
        <w:t xml:space="preserve">   </w:t>
      </w:r>
      <w:r>
        <w:rPr>
          <w:rFonts w:hint="eastAsia"/>
          <w:b/>
          <w:kern w:val="0"/>
        </w:rPr>
        <w:t xml:space="preserve"> 8</w:t>
      </w:r>
      <w:r>
        <w:rPr>
          <w:b/>
          <w:bCs/>
          <w:kern w:val="0"/>
        </w:rPr>
        <w:t>.甲方的</w:t>
      </w:r>
      <w:r>
        <w:rPr>
          <w:rFonts w:hint="eastAsia"/>
          <w:b/>
          <w:bCs/>
          <w:kern w:val="0"/>
        </w:rPr>
        <w:t>权利与义务</w:t>
      </w:r>
    </w:p>
    <w:p>
      <w:pPr>
        <w:pStyle w:val="18"/>
        <w:numPr>
          <w:ilvl w:val="0"/>
          <w:numId w:val="0"/>
        </w:numPr>
        <w:snapToGrid w:val="0"/>
        <w:spacing w:line="560" w:lineRule="exact"/>
        <w:ind w:firstLine="420"/>
        <w:outlineLvl w:val="0"/>
        <w:rPr>
          <w:kern w:val="0"/>
        </w:rPr>
      </w:pPr>
      <w:r>
        <w:rPr>
          <w:rFonts w:hint="eastAsia"/>
          <w:kern w:val="0"/>
        </w:rPr>
        <w:t>8</w:t>
      </w:r>
      <w:r>
        <w:rPr>
          <w:kern w:val="0"/>
        </w:rPr>
        <w:t xml:space="preserve">.1 </w:t>
      </w:r>
      <w:r>
        <w:rPr>
          <w:rFonts w:hint="eastAsia"/>
          <w:kern w:val="0"/>
        </w:rPr>
        <w:t>甲方有权对乙方指派的、可能涉及与甲方有利害关系的专利代理师提出更换。</w:t>
      </w:r>
    </w:p>
    <w:p>
      <w:pPr>
        <w:pStyle w:val="18"/>
        <w:numPr>
          <w:ilvl w:val="0"/>
          <w:numId w:val="0"/>
        </w:numPr>
        <w:snapToGrid w:val="0"/>
        <w:spacing w:line="560" w:lineRule="exact"/>
        <w:ind w:firstLine="420"/>
        <w:outlineLvl w:val="0"/>
        <w:rPr>
          <w:kern w:val="0"/>
        </w:rPr>
      </w:pPr>
      <w:r>
        <w:rPr>
          <w:rFonts w:hint="eastAsia"/>
          <w:kern w:val="0"/>
        </w:rPr>
        <w:t>8.2</w:t>
      </w:r>
      <w:r>
        <w:rPr>
          <w:kern w:val="0"/>
        </w:rPr>
        <w:t>甲方应遵守和协调其所属单位遵守执行本协议；</w:t>
      </w:r>
    </w:p>
    <w:p>
      <w:pPr>
        <w:pStyle w:val="18"/>
        <w:numPr>
          <w:ilvl w:val="0"/>
          <w:numId w:val="0"/>
        </w:numPr>
        <w:snapToGrid w:val="0"/>
        <w:spacing w:line="560" w:lineRule="exact"/>
        <w:ind w:firstLine="420"/>
        <w:rPr>
          <w:kern w:val="0"/>
        </w:rPr>
      </w:pPr>
      <w:r>
        <w:rPr>
          <w:rFonts w:hint="eastAsia"/>
          <w:kern w:val="0"/>
        </w:rPr>
        <w:t>8</w:t>
      </w:r>
      <w:r>
        <w:rPr>
          <w:kern w:val="0"/>
        </w:rPr>
        <w:t>.</w:t>
      </w:r>
      <w:r>
        <w:rPr>
          <w:rFonts w:hint="eastAsia"/>
          <w:kern w:val="0"/>
        </w:rPr>
        <w:t>3</w:t>
      </w:r>
      <w:r>
        <w:rPr>
          <w:kern w:val="0"/>
        </w:rPr>
        <w:t xml:space="preserve"> 甲方应向乙方提供甲方及其所属单位的专项业务联系人</w:t>
      </w:r>
      <w:r>
        <w:rPr>
          <w:rFonts w:hint="eastAsia"/>
          <w:kern w:val="0"/>
        </w:rPr>
        <w:t>，</w:t>
      </w:r>
      <w:r>
        <w:rPr>
          <w:rFonts w:hint="eastAsia"/>
        </w:rPr>
        <w:t>确保项目具体事项的联系协调工作</w:t>
      </w:r>
      <w:r>
        <w:rPr>
          <w:kern w:val="0"/>
        </w:rPr>
        <w:t>；</w:t>
      </w:r>
      <w:r>
        <w:rPr>
          <w:rFonts w:hint="eastAsia"/>
          <w:kern w:val="0"/>
        </w:rPr>
        <w:t>非因特殊原因甲方不得随意更换上述代表人，如需更换应提前7日书面通知乙方，并告知新的代表人的相关信息；甲方指定代表不能履行勤勉尽责义务或有其他不称职行为的，乙方有权要求甲方在5日内予以更换。</w:t>
      </w:r>
    </w:p>
    <w:p>
      <w:pPr>
        <w:pStyle w:val="18"/>
        <w:numPr>
          <w:ilvl w:val="0"/>
          <w:numId w:val="0"/>
        </w:numPr>
        <w:snapToGrid w:val="0"/>
        <w:spacing w:line="560" w:lineRule="exact"/>
        <w:outlineLvl w:val="0"/>
        <w:rPr>
          <w:kern w:val="0"/>
        </w:rPr>
      </w:pPr>
      <w:r>
        <w:rPr>
          <w:rFonts w:hint="eastAsia"/>
          <w:kern w:val="0"/>
        </w:rPr>
        <w:t xml:space="preserve">    8.4</w:t>
      </w:r>
      <w:r>
        <w:rPr>
          <w:kern w:val="0"/>
        </w:rPr>
        <w:t xml:space="preserve"> </w:t>
      </w:r>
      <w:r>
        <w:rPr>
          <w:rFonts w:hint="eastAsia"/>
          <w:kern w:val="0"/>
        </w:rPr>
        <w:t>协助</w:t>
      </w:r>
      <w:r>
        <w:rPr>
          <w:kern w:val="0"/>
        </w:rPr>
        <w:t>乙方开展工作</w:t>
      </w:r>
      <w:r>
        <w:rPr>
          <w:rFonts w:hint="eastAsia"/>
          <w:kern w:val="0"/>
        </w:rPr>
        <w:t>，为乙方开展工作提供必要的便利</w:t>
      </w:r>
      <w:r>
        <w:rPr>
          <w:kern w:val="0"/>
        </w:rPr>
        <w:t>；</w:t>
      </w:r>
    </w:p>
    <w:p>
      <w:pPr>
        <w:pStyle w:val="18"/>
        <w:numPr>
          <w:ilvl w:val="0"/>
          <w:numId w:val="0"/>
        </w:numPr>
        <w:snapToGrid w:val="0"/>
        <w:spacing w:line="560" w:lineRule="exact"/>
      </w:pPr>
      <w:r>
        <w:rPr>
          <w:kern w:val="0"/>
        </w:rPr>
        <w:t xml:space="preserve"> </w:t>
      </w:r>
      <w:r>
        <w:rPr>
          <w:rFonts w:hint="eastAsia"/>
          <w:kern w:val="0"/>
        </w:rPr>
        <w:t xml:space="preserve"> </w:t>
      </w:r>
      <w:r>
        <w:rPr>
          <w:kern w:val="0"/>
        </w:rPr>
        <w:t xml:space="preserve">  </w:t>
      </w:r>
      <w:r>
        <w:rPr>
          <w:rFonts w:hint="eastAsia"/>
          <w:kern w:val="0"/>
        </w:rPr>
        <w:t>8</w:t>
      </w:r>
      <w:r>
        <w:rPr>
          <w:kern w:val="0"/>
        </w:rPr>
        <w:t>.</w:t>
      </w:r>
      <w:r>
        <w:rPr>
          <w:rFonts w:hint="eastAsia"/>
          <w:kern w:val="0"/>
        </w:rPr>
        <w:t>5</w:t>
      </w:r>
      <w:r>
        <w:rPr>
          <w:kern w:val="0"/>
        </w:rPr>
        <w:t xml:space="preserve"> </w:t>
      </w:r>
      <w:r>
        <w:rPr>
          <w:rFonts w:hint="eastAsia"/>
        </w:rPr>
        <w:t>对乙方工作完成情况进行监督，但不得妨碍乙方业务的正常开展；</w:t>
      </w:r>
    </w:p>
    <w:p>
      <w:pPr>
        <w:pStyle w:val="18"/>
        <w:numPr>
          <w:ilvl w:val="0"/>
          <w:numId w:val="0"/>
        </w:numPr>
        <w:snapToGrid w:val="0"/>
        <w:spacing w:line="560" w:lineRule="exact"/>
        <w:ind w:left="707" w:leftChars="200" w:hanging="287" w:hangingChars="137"/>
        <w:outlineLvl w:val="0"/>
      </w:pPr>
      <w:r>
        <w:rPr>
          <w:rFonts w:hint="eastAsia"/>
        </w:rPr>
        <w:t>8.6 有权向乙方提出合理的意见和建议；</w:t>
      </w:r>
    </w:p>
    <w:p>
      <w:pPr>
        <w:pStyle w:val="18"/>
        <w:numPr>
          <w:ilvl w:val="0"/>
          <w:numId w:val="0"/>
        </w:numPr>
        <w:snapToGrid w:val="0"/>
        <w:spacing w:line="560" w:lineRule="exact"/>
        <w:ind w:firstLine="420" w:firstLineChars="200"/>
        <w:rPr>
          <w:rFonts w:hint="eastAsia" w:eastAsia="宋体"/>
          <w:lang w:eastAsia="zh-CN"/>
        </w:rPr>
      </w:pPr>
      <w:r>
        <w:rPr>
          <w:rFonts w:hint="eastAsia"/>
        </w:rPr>
        <w:t>8</w:t>
      </w:r>
      <w:r>
        <w:t>.</w:t>
      </w:r>
      <w:r>
        <w:rPr>
          <w:rFonts w:hint="eastAsia"/>
        </w:rPr>
        <w:t>7 按照</w:t>
      </w:r>
      <w:r>
        <w:rPr>
          <w:kern w:val="0"/>
        </w:rPr>
        <w:t>具体的</w:t>
      </w:r>
      <w:r>
        <w:rPr>
          <w:rFonts w:hint="eastAsia"/>
          <w:kern w:val="0"/>
        </w:rPr>
        <w:t>知识产权业务代理服务</w:t>
      </w:r>
      <w:r>
        <w:rPr>
          <w:kern w:val="0"/>
        </w:rPr>
        <w:t>合同</w:t>
      </w:r>
      <w:r>
        <w:rPr>
          <w:rFonts w:hint="eastAsia"/>
          <w:kern w:val="0"/>
        </w:rPr>
        <w:t>的</w:t>
      </w:r>
      <w:r>
        <w:rPr>
          <w:rFonts w:hint="eastAsia"/>
        </w:rPr>
        <w:t>约定，按时足额地向乙方支付代理费用；如乙方需代甲方缴纳官费，甲方应按时、足额地向乙方支付官费。如果乙方在书面催告之后的10个工作日内，甲方仍未足额支付相关费用，则乙方有权终止本合同</w:t>
      </w:r>
      <w:r>
        <w:rPr>
          <w:rFonts w:hint="eastAsia"/>
          <w:lang w:eastAsia="zh-CN"/>
        </w:rPr>
        <w:t>。</w:t>
      </w:r>
    </w:p>
    <w:p>
      <w:pPr>
        <w:pStyle w:val="18"/>
        <w:numPr>
          <w:ilvl w:val="0"/>
          <w:numId w:val="0"/>
        </w:numPr>
        <w:snapToGrid w:val="0"/>
        <w:spacing w:line="560" w:lineRule="exact"/>
        <w:ind w:firstLine="420" w:firstLineChars="200"/>
      </w:pPr>
      <w:r>
        <w:rPr>
          <w:rFonts w:hint="eastAsia"/>
        </w:rPr>
        <w:t>8.8按照乙方的要求将完成本协议服务内容所必需的资料、数据等及时、合法、准确、完整地地传递给乙方。</w:t>
      </w:r>
    </w:p>
    <w:p>
      <w:pPr>
        <w:pStyle w:val="18"/>
        <w:numPr>
          <w:ilvl w:val="0"/>
          <w:numId w:val="0"/>
        </w:numPr>
        <w:snapToGrid w:val="0"/>
        <w:spacing w:line="560" w:lineRule="exact"/>
        <w:ind w:firstLine="420" w:firstLineChars="200"/>
      </w:pPr>
      <w:r>
        <w:rPr>
          <w:rFonts w:hint="eastAsia"/>
        </w:rPr>
        <w:t>8.9因甲方原因导致乙方不能按时完成服务内容或交付服务成果的，乙方有权将服务周期予以顺延。若因此造成损失的，由甲方承担责任。</w:t>
      </w:r>
    </w:p>
    <w:p>
      <w:pPr>
        <w:pStyle w:val="18"/>
        <w:numPr>
          <w:ilvl w:val="0"/>
          <w:numId w:val="0"/>
        </w:numPr>
        <w:snapToGrid w:val="0"/>
        <w:spacing w:line="560" w:lineRule="exact"/>
        <w:ind w:firstLine="420" w:firstLineChars="200"/>
      </w:pPr>
      <w:r>
        <w:rPr>
          <w:rFonts w:hint="eastAsia"/>
        </w:rPr>
        <w:t>8.10本协议适用于光华荣昌集团旗下的任意主体。</w:t>
      </w:r>
    </w:p>
    <w:p>
      <w:pPr>
        <w:pStyle w:val="18"/>
        <w:numPr>
          <w:ilvl w:val="0"/>
          <w:numId w:val="0"/>
        </w:numPr>
        <w:snapToGrid w:val="0"/>
        <w:spacing w:line="560" w:lineRule="exact"/>
        <w:rPr>
          <w:b/>
          <w:bCs/>
          <w:kern w:val="0"/>
        </w:rPr>
      </w:pPr>
      <w:r>
        <w:rPr>
          <w:kern w:val="0"/>
        </w:rPr>
        <w:t xml:space="preserve">   </w:t>
      </w:r>
      <w:r>
        <w:rPr>
          <w:rFonts w:hint="eastAsia"/>
          <w:kern w:val="0"/>
        </w:rPr>
        <w:t xml:space="preserve"> </w:t>
      </w:r>
      <w:r>
        <w:rPr>
          <w:rFonts w:hint="eastAsia"/>
          <w:b/>
          <w:bCs/>
          <w:kern w:val="0"/>
        </w:rPr>
        <w:t>9</w:t>
      </w:r>
      <w:r>
        <w:rPr>
          <w:b/>
          <w:bCs/>
          <w:kern w:val="0"/>
        </w:rPr>
        <w:t>.保密</w:t>
      </w:r>
    </w:p>
    <w:p>
      <w:pPr>
        <w:pStyle w:val="18"/>
        <w:numPr>
          <w:ilvl w:val="0"/>
          <w:numId w:val="0"/>
        </w:numPr>
        <w:snapToGrid w:val="0"/>
        <w:spacing w:line="560" w:lineRule="exact"/>
        <w:rPr>
          <w:kern w:val="0"/>
        </w:rPr>
      </w:pPr>
      <w:r>
        <w:rPr>
          <w:kern w:val="0"/>
        </w:rPr>
        <w:t xml:space="preserve">   </w:t>
      </w:r>
      <w:r>
        <w:rPr>
          <w:rFonts w:hint="eastAsia"/>
          <w:kern w:val="0"/>
        </w:rPr>
        <w:t xml:space="preserve"> 9</w:t>
      </w:r>
      <w:r>
        <w:rPr>
          <w:kern w:val="0"/>
        </w:rPr>
        <w:t>.1 乙方及其</w:t>
      </w:r>
      <w:r>
        <w:rPr>
          <w:rFonts w:hint="eastAsia"/>
          <w:kern w:val="0"/>
        </w:rPr>
        <w:t>雇员</w:t>
      </w:r>
      <w:r>
        <w:rPr>
          <w:kern w:val="0"/>
        </w:rPr>
        <w:t>对于甲方的任何商业秘密或个人隐私，在未征得甲方</w:t>
      </w:r>
      <w:r>
        <w:rPr>
          <w:rFonts w:hint="eastAsia"/>
          <w:kern w:val="0"/>
        </w:rPr>
        <w:t>书面</w:t>
      </w:r>
      <w:r>
        <w:rPr>
          <w:kern w:val="0"/>
        </w:rPr>
        <w:t>同意的情况下，不得以任何方式</w:t>
      </w:r>
      <w:r>
        <w:rPr>
          <w:rFonts w:hint="eastAsia"/>
          <w:kern w:val="0"/>
        </w:rPr>
        <w:t>向第三人</w:t>
      </w:r>
      <w:r>
        <w:rPr>
          <w:kern w:val="0"/>
        </w:rPr>
        <w:t>予以披露。但是法定或约定应向司法机关或仲裁机构提供的除外；</w:t>
      </w:r>
    </w:p>
    <w:p>
      <w:pPr>
        <w:pStyle w:val="18"/>
        <w:numPr>
          <w:ilvl w:val="0"/>
          <w:numId w:val="0"/>
        </w:numPr>
        <w:snapToGrid w:val="0"/>
        <w:spacing w:line="560" w:lineRule="exact"/>
        <w:ind w:firstLine="420"/>
        <w:rPr>
          <w:kern w:val="0"/>
        </w:rPr>
      </w:pPr>
      <w:r>
        <w:rPr>
          <w:rFonts w:hint="eastAsia"/>
          <w:kern w:val="0"/>
        </w:rPr>
        <w:t>9</w:t>
      </w:r>
      <w:r>
        <w:rPr>
          <w:kern w:val="0"/>
        </w:rPr>
        <w:t>.2 无论甲方是否有特殊保密要求，乙方均应遵守</w:t>
      </w:r>
      <w:r>
        <w:rPr>
          <w:rFonts w:hint="eastAsia"/>
          <w:kern w:val="0"/>
        </w:rPr>
        <w:t>9</w:t>
      </w:r>
      <w:r>
        <w:rPr>
          <w:kern w:val="0"/>
        </w:rPr>
        <w:t>.1款的约定。</w:t>
      </w:r>
    </w:p>
    <w:p>
      <w:pPr>
        <w:pStyle w:val="18"/>
        <w:numPr>
          <w:ilvl w:val="0"/>
          <w:numId w:val="0"/>
        </w:numPr>
        <w:snapToGrid w:val="0"/>
        <w:spacing w:line="560" w:lineRule="exact"/>
        <w:ind w:firstLine="420"/>
        <w:rPr>
          <w:kern w:val="0"/>
        </w:rPr>
      </w:pPr>
      <w:r>
        <w:rPr>
          <w:rFonts w:hint="eastAsia"/>
          <w:kern w:val="0"/>
        </w:rPr>
        <w:t>9.3甲方应该保守在本协议履行过程中知悉的乙方的商业秘密或专有信息，未征得乙方书面同意，不得以任何方式向第三人予以披露。但是法定或约定应向司法机关或仲裁机构提供的除外。</w:t>
      </w:r>
    </w:p>
    <w:p>
      <w:pPr>
        <w:pStyle w:val="18"/>
        <w:numPr>
          <w:ilvl w:val="0"/>
          <w:numId w:val="0"/>
        </w:numPr>
        <w:snapToGrid w:val="0"/>
        <w:spacing w:line="560" w:lineRule="exact"/>
        <w:rPr>
          <w:b/>
          <w:bCs/>
          <w:kern w:val="0"/>
        </w:rPr>
      </w:pPr>
      <w:bookmarkStart w:id="0" w:name="_Toc395795598"/>
      <w:r>
        <w:rPr>
          <w:kern w:val="0"/>
        </w:rPr>
        <w:t xml:space="preserve">  </w:t>
      </w:r>
      <w:r>
        <w:rPr>
          <w:b/>
          <w:bCs/>
          <w:kern w:val="0"/>
        </w:rPr>
        <w:t xml:space="preserve"> </w:t>
      </w:r>
      <w:r>
        <w:rPr>
          <w:rFonts w:hint="eastAsia"/>
          <w:b/>
          <w:bCs/>
          <w:kern w:val="0"/>
        </w:rPr>
        <w:t xml:space="preserve"> </w:t>
      </w:r>
      <w:r>
        <w:rPr>
          <w:b/>
          <w:bCs/>
          <w:kern w:val="0"/>
        </w:rPr>
        <w:t>1</w:t>
      </w:r>
      <w:r>
        <w:rPr>
          <w:rFonts w:hint="eastAsia"/>
          <w:b/>
          <w:bCs/>
          <w:kern w:val="0"/>
        </w:rPr>
        <w:t>0</w:t>
      </w:r>
      <w:r>
        <w:rPr>
          <w:b/>
          <w:bCs/>
          <w:kern w:val="0"/>
        </w:rPr>
        <w:t>.不可抗力</w:t>
      </w:r>
      <w:bookmarkEnd w:id="0"/>
    </w:p>
    <w:p>
      <w:pPr>
        <w:spacing w:line="54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0</w:t>
      </w:r>
      <w:r>
        <w:rPr>
          <w:rFonts w:ascii="宋体" w:hAnsi="宋体"/>
          <w:kern w:val="0"/>
          <w:szCs w:val="21"/>
        </w:rPr>
        <w:t>.1 不可抗力是指不能预见、不能避免并不能克服的客观情况。</w:t>
      </w:r>
    </w:p>
    <w:p>
      <w:pPr>
        <w:spacing w:line="54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0</w:t>
      </w:r>
      <w:r>
        <w:rPr>
          <w:rFonts w:ascii="宋体" w:hAnsi="宋体"/>
          <w:kern w:val="0"/>
          <w:szCs w:val="21"/>
        </w:rPr>
        <w:t>.2 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pPr>
        <w:spacing w:line="54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0</w:t>
      </w:r>
      <w:r>
        <w:rPr>
          <w:rFonts w:ascii="宋体" w:hAnsi="宋体"/>
          <w:kern w:val="0"/>
          <w:szCs w:val="21"/>
        </w:rPr>
        <w:t xml:space="preserve">.3 受到不可抗力影响的一方应在不可抗力事件发生后2周内（含本数），取得有关部门关于发生不可抗力事件的证明文件，并以传真等书面形式提交另一方确认。否则，无权以不可抗力为由要求减轻或免除合同责任。 </w:t>
      </w:r>
    </w:p>
    <w:p>
      <w:pPr>
        <w:spacing w:line="54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0</w:t>
      </w:r>
      <w:r>
        <w:rPr>
          <w:rFonts w:ascii="宋体" w:hAnsi="宋体"/>
          <w:kern w:val="0"/>
          <w:szCs w:val="21"/>
        </w:rPr>
        <w:t>.4 如果不可抗力事件的影响已达120天或双方预计不可抗力事件的影响将延续120天（含本数）以上时，任何一方有权终止本合同。由于合同终止所引起的后续问题由双方友好协商解决。</w:t>
      </w:r>
    </w:p>
    <w:p>
      <w:pPr>
        <w:pStyle w:val="18"/>
        <w:numPr>
          <w:ilvl w:val="0"/>
          <w:numId w:val="0"/>
        </w:numPr>
        <w:snapToGrid w:val="0"/>
        <w:spacing w:line="560" w:lineRule="exact"/>
        <w:ind w:firstLine="409" w:firstLineChars="194"/>
        <w:outlineLvl w:val="0"/>
        <w:rPr>
          <w:b/>
          <w:kern w:val="0"/>
        </w:rPr>
      </w:pPr>
      <w:r>
        <w:rPr>
          <w:b/>
          <w:kern w:val="0"/>
        </w:rPr>
        <w:t>1</w:t>
      </w:r>
      <w:r>
        <w:rPr>
          <w:rFonts w:hint="eastAsia"/>
          <w:b/>
          <w:kern w:val="0"/>
        </w:rPr>
        <w:t>1</w:t>
      </w:r>
      <w:r>
        <w:rPr>
          <w:b/>
          <w:kern w:val="0"/>
        </w:rPr>
        <w:t>.例外情况</w:t>
      </w:r>
    </w:p>
    <w:p>
      <w:pPr>
        <w:spacing w:line="54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1</w:t>
      </w:r>
      <w:r>
        <w:rPr>
          <w:rFonts w:ascii="宋体" w:hAnsi="宋体"/>
          <w:kern w:val="0"/>
          <w:szCs w:val="21"/>
        </w:rPr>
        <w:t>.1因本项框架协议与</w:t>
      </w:r>
      <w:r>
        <w:rPr>
          <w:rFonts w:hint="eastAsia" w:ascii="宋体" w:hAnsi="宋体"/>
          <w:kern w:val="0"/>
          <w:szCs w:val="21"/>
        </w:rPr>
        <w:t>甲方</w:t>
      </w:r>
      <w:r>
        <w:rPr>
          <w:rFonts w:ascii="宋体" w:hAnsi="宋体"/>
          <w:kern w:val="0"/>
          <w:szCs w:val="21"/>
        </w:rPr>
        <w:t>及其所属单位依照不定时发生的具体项目情况商谈签署具体的专项服务协议。由于受报价、专业能力、合作状况等多种因素的影响，</w:t>
      </w:r>
      <w:r>
        <w:rPr>
          <w:rFonts w:hint="eastAsia" w:ascii="宋体" w:hAnsi="宋体"/>
          <w:kern w:val="0"/>
          <w:szCs w:val="21"/>
        </w:rPr>
        <w:t>甲方</w:t>
      </w:r>
      <w:r>
        <w:rPr>
          <w:rFonts w:ascii="宋体" w:hAnsi="宋体"/>
          <w:kern w:val="0"/>
          <w:szCs w:val="21"/>
        </w:rPr>
        <w:t>并不保证</w:t>
      </w:r>
      <w:r>
        <w:rPr>
          <w:rFonts w:hint="eastAsia" w:ascii="宋体" w:hAnsi="宋体"/>
          <w:kern w:val="0"/>
          <w:szCs w:val="21"/>
        </w:rPr>
        <w:t>乙方</w:t>
      </w:r>
      <w:r>
        <w:rPr>
          <w:rFonts w:ascii="宋体" w:hAnsi="宋体"/>
          <w:kern w:val="0"/>
          <w:szCs w:val="21"/>
        </w:rPr>
        <w:t>能否签署具体的</w:t>
      </w:r>
      <w:r>
        <w:rPr>
          <w:rFonts w:hint="eastAsia" w:ascii="宋体" w:hAnsi="宋体"/>
          <w:kern w:val="0"/>
          <w:szCs w:val="21"/>
        </w:rPr>
        <w:t>知识产权业务代理</w:t>
      </w:r>
      <w:r>
        <w:rPr>
          <w:rFonts w:ascii="宋体" w:hAnsi="宋体"/>
          <w:kern w:val="0"/>
          <w:szCs w:val="21"/>
        </w:rPr>
        <w:t>服务合同乃至数量的多少，</w:t>
      </w:r>
      <w:r>
        <w:rPr>
          <w:rFonts w:hint="eastAsia" w:ascii="宋体" w:hAnsi="宋体"/>
          <w:kern w:val="0"/>
          <w:szCs w:val="21"/>
        </w:rPr>
        <w:t>甲方</w:t>
      </w:r>
      <w:r>
        <w:rPr>
          <w:rFonts w:ascii="宋体" w:hAnsi="宋体"/>
          <w:kern w:val="0"/>
          <w:szCs w:val="21"/>
        </w:rPr>
        <w:t>对此不承担任何责任，</w:t>
      </w:r>
      <w:r>
        <w:rPr>
          <w:rFonts w:hint="eastAsia" w:ascii="宋体" w:hAnsi="宋体"/>
          <w:kern w:val="0"/>
          <w:szCs w:val="21"/>
        </w:rPr>
        <w:t>甲方</w:t>
      </w:r>
      <w:r>
        <w:rPr>
          <w:rFonts w:ascii="宋体" w:hAnsi="宋体"/>
          <w:kern w:val="0"/>
          <w:szCs w:val="21"/>
        </w:rPr>
        <w:t>仅对</w:t>
      </w:r>
      <w:r>
        <w:rPr>
          <w:rFonts w:hint="eastAsia" w:ascii="宋体" w:hAnsi="宋体"/>
          <w:kern w:val="0"/>
          <w:szCs w:val="21"/>
        </w:rPr>
        <w:t>乙方</w:t>
      </w:r>
      <w:r>
        <w:rPr>
          <w:rFonts w:ascii="宋体" w:hAnsi="宋体"/>
          <w:kern w:val="0"/>
          <w:szCs w:val="21"/>
        </w:rPr>
        <w:t>提供相应的业务合作机会与条件。</w:t>
      </w:r>
    </w:p>
    <w:p>
      <w:pPr>
        <w:spacing w:line="54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1</w:t>
      </w:r>
      <w:r>
        <w:rPr>
          <w:rFonts w:ascii="宋体" w:hAnsi="宋体"/>
          <w:kern w:val="0"/>
          <w:szCs w:val="21"/>
        </w:rPr>
        <w:t>.2因甲方业务管理政策变化及</w:t>
      </w:r>
      <w:r>
        <w:rPr>
          <w:rFonts w:hint="eastAsia" w:ascii="宋体" w:hAnsi="宋体"/>
          <w:kern w:val="0"/>
          <w:szCs w:val="21"/>
        </w:rPr>
        <w:t>乙方</w:t>
      </w:r>
      <w:r>
        <w:rPr>
          <w:rFonts w:ascii="宋体" w:hAnsi="宋体"/>
          <w:kern w:val="0"/>
          <w:szCs w:val="21"/>
        </w:rPr>
        <w:t>整体服务状况满意度等多种因素，甲方有权调整</w:t>
      </w:r>
      <w:r>
        <w:rPr>
          <w:rFonts w:hint="eastAsia" w:ascii="宋体" w:hAnsi="宋体"/>
          <w:kern w:val="0"/>
          <w:szCs w:val="21"/>
        </w:rPr>
        <w:t>知识产权专业服务</w:t>
      </w:r>
      <w:r>
        <w:rPr>
          <w:rFonts w:ascii="宋体" w:hAnsi="宋体"/>
          <w:kern w:val="0"/>
          <w:szCs w:val="21"/>
        </w:rPr>
        <w:t>机构库内机构范围，对此甲方对乙方不承担任何违约责任。</w:t>
      </w:r>
    </w:p>
    <w:p>
      <w:pPr>
        <w:spacing w:line="400" w:lineRule="exact"/>
        <w:ind w:firstLine="420" w:firstLineChars="200"/>
        <w:rPr>
          <w:rFonts w:ascii="宋体" w:hAnsi="宋体" w:cs="宋体"/>
          <w:szCs w:val="21"/>
        </w:rPr>
      </w:pPr>
      <w:r>
        <w:rPr>
          <w:rFonts w:hint="eastAsia" w:ascii="宋体" w:hAnsi="宋体" w:cs="宋体"/>
          <w:szCs w:val="21"/>
        </w:rPr>
        <w:t>11.3</w:t>
      </w:r>
      <w:bookmarkStart w:id="1" w:name="OLE_LINK2"/>
      <w:r>
        <w:rPr>
          <w:rFonts w:hint="eastAsia" w:ascii="宋体" w:hAnsi="宋体" w:cs="宋体"/>
          <w:szCs w:val="21"/>
        </w:rPr>
        <w:t>如因乙方单位过错导致相关注册或保护程序终止或无效且无法挽回的，乙方应支付给甲方该项业务代理费用的 2 倍作为赔偿金；造成损失的，乙方应按照实际</w:t>
      </w:r>
      <w:r>
        <w:rPr>
          <w:rFonts w:hint="eastAsia" w:ascii="宋体" w:hAnsi="宋体" w:cs="宋体"/>
          <w:szCs w:val="21"/>
          <w:lang w:eastAsia="zh-CN"/>
        </w:rPr>
        <w:t>经济</w:t>
      </w:r>
      <w:r>
        <w:rPr>
          <w:rFonts w:hint="eastAsia" w:ascii="宋体" w:hAnsi="宋体" w:cs="宋体"/>
          <w:szCs w:val="21"/>
        </w:rPr>
        <w:t>损失对甲方进行赔偿，但赔偿金额不超过该项业务代理费用的 5 倍。</w:t>
      </w:r>
      <w:bookmarkEnd w:id="1"/>
    </w:p>
    <w:p>
      <w:pPr>
        <w:spacing w:line="400" w:lineRule="exact"/>
        <w:ind w:firstLine="420" w:firstLineChars="200"/>
        <w:rPr>
          <w:rFonts w:ascii="宋体" w:hAnsi="宋体" w:cs="宋体"/>
          <w:szCs w:val="21"/>
        </w:rPr>
      </w:pPr>
      <w:r>
        <w:rPr>
          <w:rFonts w:hint="eastAsia" w:ascii="宋体" w:hAnsi="宋体" w:cs="宋体"/>
          <w:szCs w:val="21"/>
        </w:rPr>
        <w:t>11.4 如因甲方过错导致相关注册或保护程序终止或无效且无法挽回的，乙方不承担法律责任。</w:t>
      </w:r>
    </w:p>
    <w:p>
      <w:pPr>
        <w:pStyle w:val="18"/>
        <w:numPr>
          <w:ilvl w:val="0"/>
          <w:numId w:val="0"/>
        </w:numPr>
        <w:snapToGrid w:val="0"/>
        <w:spacing w:line="560" w:lineRule="exact"/>
        <w:ind w:firstLine="407" w:firstLineChars="193"/>
        <w:outlineLvl w:val="0"/>
        <w:rPr>
          <w:b/>
          <w:bCs/>
          <w:kern w:val="0"/>
        </w:rPr>
      </w:pPr>
      <w:r>
        <w:rPr>
          <w:b/>
          <w:bCs/>
          <w:kern w:val="0"/>
        </w:rPr>
        <w:t>1</w:t>
      </w:r>
      <w:r>
        <w:rPr>
          <w:rFonts w:hint="eastAsia"/>
          <w:b/>
          <w:bCs/>
          <w:kern w:val="0"/>
        </w:rPr>
        <w:t>2</w:t>
      </w:r>
      <w:r>
        <w:rPr>
          <w:b/>
          <w:bCs/>
          <w:kern w:val="0"/>
        </w:rPr>
        <w:t>.争议解决方式</w:t>
      </w:r>
    </w:p>
    <w:p>
      <w:pPr>
        <w:pStyle w:val="18"/>
        <w:numPr>
          <w:ilvl w:val="0"/>
          <w:numId w:val="0"/>
        </w:numPr>
        <w:snapToGrid w:val="0"/>
        <w:spacing w:line="560" w:lineRule="exact"/>
        <w:rPr>
          <w:kern w:val="0"/>
        </w:rPr>
      </w:pPr>
      <w:r>
        <w:rPr>
          <w:kern w:val="0"/>
        </w:rPr>
        <w:t xml:space="preserve">   </w:t>
      </w:r>
      <w:r>
        <w:rPr>
          <w:rFonts w:hint="eastAsia"/>
          <w:kern w:val="0"/>
        </w:rPr>
        <w:t xml:space="preserve"> </w:t>
      </w:r>
      <w:r>
        <w:rPr>
          <w:kern w:val="0"/>
        </w:rPr>
        <w:t>本合同在履行过程中发生争议，应由甲方与乙方协商解决，协商不成，双方均有权向</w:t>
      </w:r>
      <w:r>
        <w:rPr>
          <w:rFonts w:hint="eastAsia"/>
          <w:kern w:val="0"/>
        </w:rPr>
        <w:t>原告</w:t>
      </w:r>
      <w:r>
        <w:rPr>
          <w:kern w:val="0"/>
        </w:rPr>
        <w:t xml:space="preserve">方所在地有管辖权的人民法院提起诉讼。   </w:t>
      </w:r>
    </w:p>
    <w:p>
      <w:pPr>
        <w:pStyle w:val="18"/>
        <w:numPr>
          <w:ilvl w:val="0"/>
          <w:numId w:val="0"/>
        </w:numPr>
        <w:snapToGrid w:val="0"/>
        <w:spacing w:line="560" w:lineRule="exact"/>
        <w:outlineLvl w:val="0"/>
        <w:rPr>
          <w:b/>
          <w:bCs/>
          <w:kern w:val="0"/>
        </w:rPr>
      </w:pPr>
      <w:r>
        <w:rPr>
          <w:kern w:val="0"/>
        </w:rPr>
        <w:t xml:space="preserve">  </w:t>
      </w:r>
      <w:r>
        <w:rPr>
          <w:b/>
          <w:bCs/>
          <w:kern w:val="0"/>
        </w:rPr>
        <w:t xml:space="preserve"> </w:t>
      </w:r>
      <w:r>
        <w:rPr>
          <w:rFonts w:hint="eastAsia"/>
          <w:b/>
          <w:bCs/>
          <w:kern w:val="0"/>
        </w:rPr>
        <w:t xml:space="preserve"> </w:t>
      </w:r>
      <w:r>
        <w:rPr>
          <w:b/>
          <w:bCs/>
          <w:kern w:val="0"/>
        </w:rPr>
        <w:t>1</w:t>
      </w:r>
      <w:r>
        <w:rPr>
          <w:rFonts w:hint="eastAsia"/>
          <w:b/>
          <w:bCs/>
          <w:kern w:val="0"/>
        </w:rPr>
        <w:t>3</w:t>
      </w:r>
      <w:r>
        <w:rPr>
          <w:b/>
          <w:bCs/>
          <w:kern w:val="0"/>
        </w:rPr>
        <w:t>. 协议的生效</w:t>
      </w:r>
    </w:p>
    <w:p>
      <w:pPr>
        <w:pStyle w:val="18"/>
        <w:numPr>
          <w:ilvl w:val="0"/>
          <w:numId w:val="0"/>
        </w:numPr>
        <w:snapToGrid w:val="0"/>
        <w:spacing w:line="560" w:lineRule="exact"/>
        <w:ind w:firstLine="420" w:firstLineChars="200"/>
        <w:rPr>
          <w:kern w:val="0"/>
        </w:rPr>
      </w:pPr>
      <w:r>
        <w:rPr>
          <w:kern w:val="0"/>
        </w:rPr>
        <w:t>本框架协议自甲、乙</w:t>
      </w:r>
      <w:r>
        <w:rPr>
          <w:rFonts w:hint="eastAsia"/>
          <w:kern w:val="0"/>
        </w:rPr>
        <w:t>双</w:t>
      </w:r>
      <w:r>
        <w:rPr>
          <w:kern w:val="0"/>
        </w:rPr>
        <w:t>方法定代表人（或授权代理人）签字并加盖公章之日起生效。</w:t>
      </w:r>
    </w:p>
    <w:p>
      <w:pPr>
        <w:pStyle w:val="18"/>
        <w:numPr>
          <w:ilvl w:val="0"/>
          <w:numId w:val="0"/>
        </w:numPr>
        <w:snapToGrid w:val="0"/>
        <w:spacing w:line="560" w:lineRule="exact"/>
        <w:outlineLvl w:val="0"/>
        <w:rPr>
          <w:b/>
          <w:bCs/>
          <w:kern w:val="0"/>
        </w:rPr>
      </w:pPr>
      <w:r>
        <w:rPr>
          <w:kern w:val="0"/>
        </w:rPr>
        <w:t xml:space="preserve">   </w:t>
      </w:r>
      <w:r>
        <w:rPr>
          <w:rFonts w:hint="eastAsia"/>
          <w:kern w:val="0"/>
        </w:rPr>
        <w:t xml:space="preserve"> </w:t>
      </w:r>
      <w:r>
        <w:rPr>
          <w:b/>
          <w:bCs/>
          <w:kern w:val="0"/>
        </w:rPr>
        <w:t>1</w:t>
      </w:r>
      <w:r>
        <w:rPr>
          <w:rFonts w:hint="eastAsia"/>
          <w:b/>
          <w:bCs/>
          <w:kern w:val="0"/>
        </w:rPr>
        <w:t>4</w:t>
      </w:r>
      <w:r>
        <w:rPr>
          <w:b/>
          <w:bCs/>
          <w:kern w:val="0"/>
        </w:rPr>
        <w:t>.协议的补充、修改和变更</w:t>
      </w:r>
    </w:p>
    <w:p>
      <w:pPr>
        <w:pStyle w:val="18"/>
        <w:numPr>
          <w:ilvl w:val="0"/>
          <w:numId w:val="0"/>
        </w:numPr>
        <w:snapToGrid w:val="0"/>
        <w:spacing w:line="560" w:lineRule="exact"/>
        <w:rPr>
          <w:kern w:val="0"/>
        </w:rPr>
      </w:pPr>
      <w:r>
        <w:rPr>
          <w:kern w:val="0"/>
        </w:rPr>
        <w:t xml:space="preserve">   </w:t>
      </w:r>
      <w:r>
        <w:rPr>
          <w:rFonts w:hint="eastAsia"/>
          <w:kern w:val="0"/>
        </w:rPr>
        <w:t xml:space="preserve"> </w:t>
      </w:r>
      <w:r>
        <w:rPr>
          <w:kern w:val="0"/>
        </w:rPr>
        <w:t>1</w:t>
      </w:r>
      <w:r>
        <w:rPr>
          <w:rFonts w:hint="eastAsia"/>
          <w:kern w:val="0"/>
        </w:rPr>
        <w:t>4</w:t>
      </w:r>
      <w:r>
        <w:rPr>
          <w:kern w:val="0"/>
        </w:rPr>
        <w:t>.1双方协商一致，可以对本框架协议进行补充、修改或变更。</w:t>
      </w:r>
    </w:p>
    <w:p>
      <w:pPr>
        <w:pStyle w:val="18"/>
        <w:numPr>
          <w:ilvl w:val="0"/>
          <w:numId w:val="0"/>
        </w:numPr>
        <w:snapToGrid w:val="0"/>
        <w:spacing w:line="560" w:lineRule="exact"/>
        <w:rPr>
          <w:kern w:val="0"/>
        </w:rPr>
      </w:pPr>
      <w:r>
        <w:rPr>
          <w:kern w:val="0"/>
        </w:rPr>
        <w:t xml:space="preserve">   </w:t>
      </w:r>
      <w:r>
        <w:rPr>
          <w:rFonts w:hint="eastAsia"/>
          <w:kern w:val="0"/>
        </w:rPr>
        <w:t xml:space="preserve"> </w:t>
      </w:r>
      <w:r>
        <w:rPr>
          <w:kern w:val="0"/>
        </w:rPr>
        <w:t>1</w:t>
      </w:r>
      <w:r>
        <w:rPr>
          <w:rFonts w:hint="eastAsia"/>
          <w:kern w:val="0"/>
        </w:rPr>
        <w:t>4</w:t>
      </w:r>
      <w:r>
        <w:rPr>
          <w:kern w:val="0"/>
        </w:rPr>
        <w:t>.2对本框架协议的补充、修改或变更必须以书面形式进行。补充、修改或变更的协议的签署及生效方式与本框架协议的签署及生效方式相同。</w:t>
      </w:r>
    </w:p>
    <w:p>
      <w:pPr>
        <w:pStyle w:val="18"/>
        <w:numPr>
          <w:ilvl w:val="0"/>
          <w:numId w:val="0"/>
        </w:numPr>
        <w:snapToGrid w:val="0"/>
        <w:spacing w:line="560" w:lineRule="exact"/>
        <w:rPr>
          <w:kern w:val="0"/>
        </w:rPr>
      </w:pPr>
      <w:r>
        <w:rPr>
          <w:kern w:val="0"/>
        </w:rPr>
        <w:t xml:space="preserve">   </w:t>
      </w:r>
      <w:r>
        <w:rPr>
          <w:rFonts w:hint="eastAsia"/>
          <w:kern w:val="0"/>
        </w:rPr>
        <w:t xml:space="preserve"> </w:t>
      </w:r>
      <w:r>
        <w:rPr>
          <w:kern w:val="0"/>
        </w:rPr>
        <w:t>1</w:t>
      </w:r>
      <w:r>
        <w:rPr>
          <w:rFonts w:hint="eastAsia"/>
          <w:kern w:val="0"/>
        </w:rPr>
        <w:t>4</w:t>
      </w:r>
      <w:r>
        <w:rPr>
          <w:kern w:val="0"/>
        </w:rPr>
        <w:t>.3</w:t>
      </w:r>
      <w:r>
        <w:rPr>
          <w:rFonts w:hint="eastAsia"/>
          <w:kern w:val="0"/>
        </w:rPr>
        <w:t>相关</w:t>
      </w:r>
      <w:r>
        <w:rPr>
          <w:kern w:val="0"/>
        </w:rPr>
        <w:t>文件及其全部条款、双方签订的补充协议以及修改或变更的条款与本合同具有同等法律效力</w:t>
      </w:r>
      <w:r>
        <w:rPr>
          <w:rFonts w:hint="eastAsia"/>
          <w:kern w:val="0"/>
        </w:rPr>
        <w:t>，发生冲突时，应以后签订的协议或条款为准</w:t>
      </w:r>
      <w:r>
        <w:rPr>
          <w:kern w:val="0"/>
        </w:rPr>
        <w:t>。</w:t>
      </w:r>
    </w:p>
    <w:p>
      <w:pPr>
        <w:pStyle w:val="18"/>
        <w:numPr>
          <w:ilvl w:val="0"/>
          <w:numId w:val="0"/>
        </w:numPr>
        <w:snapToGrid w:val="0"/>
        <w:spacing w:line="560" w:lineRule="exact"/>
        <w:outlineLvl w:val="0"/>
        <w:rPr>
          <w:b/>
          <w:bCs/>
          <w:kern w:val="0"/>
        </w:rPr>
      </w:pPr>
      <w:r>
        <w:rPr>
          <w:kern w:val="0"/>
        </w:rPr>
        <w:t xml:space="preserve">    </w:t>
      </w:r>
      <w:r>
        <w:rPr>
          <w:b/>
          <w:bCs/>
          <w:kern w:val="0"/>
        </w:rPr>
        <w:t>1</w:t>
      </w:r>
      <w:r>
        <w:rPr>
          <w:rFonts w:hint="eastAsia"/>
          <w:b/>
          <w:bCs/>
          <w:kern w:val="0"/>
        </w:rPr>
        <w:t>5</w:t>
      </w:r>
      <w:r>
        <w:rPr>
          <w:b/>
          <w:bCs/>
          <w:kern w:val="0"/>
        </w:rPr>
        <w:t>.法律适用</w:t>
      </w:r>
    </w:p>
    <w:p>
      <w:pPr>
        <w:pStyle w:val="18"/>
        <w:numPr>
          <w:ilvl w:val="0"/>
          <w:numId w:val="0"/>
        </w:numPr>
        <w:snapToGrid w:val="0"/>
        <w:spacing w:line="560" w:lineRule="exact"/>
        <w:rPr>
          <w:kern w:val="0"/>
        </w:rPr>
      </w:pPr>
      <w:r>
        <w:rPr>
          <w:kern w:val="0"/>
        </w:rPr>
        <w:t xml:space="preserve">    本框架协议及附件的订立、效力、解释、履行、争议的解决等适用本合同签订时有效的中华人民共和国法律、法规的有关规定。</w:t>
      </w:r>
    </w:p>
    <w:p>
      <w:pPr>
        <w:pStyle w:val="18"/>
        <w:numPr>
          <w:ilvl w:val="0"/>
          <w:numId w:val="0"/>
        </w:numPr>
        <w:snapToGrid w:val="0"/>
        <w:spacing w:line="560" w:lineRule="exact"/>
        <w:outlineLvl w:val="0"/>
        <w:rPr>
          <w:b/>
          <w:bCs/>
          <w:kern w:val="0"/>
        </w:rPr>
      </w:pPr>
      <w:r>
        <w:rPr>
          <w:kern w:val="0"/>
        </w:rPr>
        <w:t xml:space="preserve">    </w:t>
      </w:r>
      <w:r>
        <w:rPr>
          <w:b/>
          <w:bCs/>
          <w:kern w:val="0"/>
        </w:rPr>
        <w:t>1</w:t>
      </w:r>
      <w:r>
        <w:rPr>
          <w:rFonts w:hint="eastAsia"/>
          <w:b/>
          <w:bCs/>
          <w:kern w:val="0"/>
        </w:rPr>
        <w:t>6</w:t>
      </w:r>
      <w:r>
        <w:rPr>
          <w:b/>
          <w:bCs/>
          <w:kern w:val="0"/>
        </w:rPr>
        <w:t>.合同的签订时间及地点</w:t>
      </w:r>
    </w:p>
    <w:p>
      <w:pPr>
        <w:pStyle w:val="18"/>
        <w:numPr>
          <w:ilvl w:val="0"/>
          <w:numId w:val="0"/>
        </w:numPr>
        <w:snapToGrid w:val="0"/>
        <w:spacing w:line="560" w:lineRule="exact"/>
        <w:ind w:firstLine="420" w:firstLineChars="200"/>
        <w:rPr>
          <w:kern w:val="0"/>
        </w:rPr>
      </w:pPr>
      <w:r>
        <w:rPr>
          <w:kern w:val="0"/>
        </w:rPr>
        <w:t>本框架协议于</w:t>
      </w:r>
      <w:r>
        <w:rPr>
          <w:kern w:val="0"/>
          <w:u w:val="single"/>
        </w:rPr>
        <w:t xml:space="preserve">    </w:t>
      </w:r>
      <w:r>
        <w:rPr>
          <w:kern w:val="0"/>
        </w:rPr>
        <w:t>年</w:t>
      </w:r>
      <w:r>
        <w:rPr>
          <w:kern w:val="0"/>
          <w:u w:val="single"/>
        </w:rPr>
        <w:t xml:space="preserve">   </w:t>
      </w:r>
      <w:r>
        <w:rPr>
          <w:kern w:val="0"/>
        </w:rPr>
        <w:t>月</w:t>
      </w:r>
      <w:r>
        <w:rPr>
          <w:kern w:val="0"/>
          <w:u w:val="single"/>
        </w:rPr>
        <w:t xml:space="preserve">   </w:t>
      </w:r>
      <w:r>
        <w:rPr>
          <w:kern w:val="0"/>
        </w:rPr>
        <w:t>日由甲、乙方双方在</w:t>
      </w:r>
      <w:r>
        <w:rPr>
          <w:kern w:val="0"/>
          <w:u w:val="single"/>
        </w:rPr>
        <w:t xml:space="preserve">     </w:t>
      </w:r>
      <w:r>
        <w:rPr>
          <w:rFonts w:hint="eastAsia"/>
          <w:kern w:val="0"/>
          <w:u w:val="single"/>
        </w:rPr>
        <w:t xml:space="preserve">              </w:t>
      </w:r>
      <w:r>
        <w:rPr>
          <w:kern w:val="0"/>
          <w:u w:val="single"/>
        </w:rPr>
        <w:t xml:space="preserve">   </w:t>
      </w:r>
      <w:r>
        <w:rPr>
          <w:kern w:val="0"/>
        </w:rPr>
        <w:t>签订。</w:t>
      </w:r>
    </w:p>
    <w:p>
      <w:pPr>
        <w:pStyle w:val="5"/>
        <w:adjustRightInd w:val="0"/>
        <w:snapToGrid w:val="0"/>
        <w:spacing w:line="560" w:lineRule="exact"/>
        <w:ind w:firstLine="422" w:firstLineChars="200"/>
        <w:outlineLvl w:val="0"/>
        <w:rPr>
          <w:rFonts w:hAnsi="宋体"/>
          <w:b/>
          <w:bCs/>
          <w:kern w:val="0"/>
          <w:szCs w:val="21"/>
          <w:lang w:val="en-US"/>
        </w:rPr>
      </w:pPr>
      <w:r>
        <w:rPr>
          <w:rFonts w:hAnsi="宋体"/>
          <w:b/>
          <w:bCs/>
          <w:kern w:val="0"/>
          <w:szCs w:val="21"/>
          <w:lang w:val="en-US"/>
        </w:rPr>
        <w:t>1</w:t>
      </w:r>
      <w:r>
        <w:rPr>
          <w:rFonts w:hint="eastAsia" w:hAnsi="宋体"/>
          <w:b/>
          <w:bCs/>
          <w:kern w:val="0"/>
          <w:szCs w:val="21"/>
          <w:lang w:val="en-US"/>
        </w:rPr>
        <w:t>7</w:t>
      </w:r>
      <w:r>
        <w:rPr>
          <w:rFonts w:hAnsi="宋体"/>
          <w:b/>
          <w:bCs/>
          <w:kern w:val="0"/>
          <w:szCs w:val="21"/>
          <w:lang w:val="en-US"/>
        </w:rPr>
        <w:t>.</w:t>
      </w:r>
      <w:r>
        <w:rPr>
          <w:rFonts w:hAnsi="宋体"/>
          <w:b/>
          <w:bCs/>
          <w:kern w:val="0"/>
          <w:szCs w:val="21"/>
        </w:rPr>
        <w:t>其他</w:t>
      </w:r>
    </w:p>
    <w:p>
      <w:pPr>
        <w:pStyle w:val="5"/>
        <w:adjustRightInd w:val="0"/>
        <w:snapToGrid w:val="0"/>
        <w:spacing w:line="560" w:lineRule="exact"/>
        <w:ind w:firstLine="420" w:firstLineChars="200"/>
        <w:rPr>
          <w:rFonts w:hAnsi="宋体"/>
          <w:kern w:val="0"/>
          <w:szCs w:val="21"/>
          <w:lang w:val="en-US"/>
        </w:rPr>
      </w:pPr>
      <w:r>
        <w:rPr>
          <w:rFonts w:hAnsi="宋体"/>
          <w:kern w:val="0"/>
          <w:szCs w:val="21"/>
        </w:rPr>
        <w:t>本合同所附下列文件是构成本合同不可分割的部分</w:t>
      </w:r>
      <w:r>
        <w:rPr>
          <w:rFonts w:hAnsi="宋体"/>
          <w:kern w:val="0"/>
          <w:szCs w:val="21"/>
          <w:lang w:val="en-US"/>
        </w:rPr>
        <w:t>：</w:t>
      </w:r>
    </w:p>
    <w:p>
      <w:pPr>
        <w:pStyle w:val="5"/>
        <w:numPr>
          <w:ilvl w:val="0"/>
          <w:numId w:val="3"/>
        </w:numPr>
        <w:adjustRightInd w:val="0"/>
        <w:snapToGrid w:val="0"/>
        <w:spacing w:line="560" w:lineRule="exact"/>
        <w:ind w:firstLine="420" w:firstLineChars="200"/>
        <w:rPr>
          <w:rFonts w:hAnsi="宋体"/>
          <w:kern w:val="0"/>
          <w:szCs w:val="21"/>
        </w:rPr>
      </w:pPr>
      <w:r>
        <w:rPr>
          <w:rFonts w:hint="eastAsia" w:hAnsi="宋体"/>
          <w:kern w:val="0"/>
          <w:szCs w:val="21"/>
        </w:rPr>
        <w:t>价格明细表</w:t>
      </w:r>
      <w:r>
        <w:rPr>
          <w:rFonts w:hAnsi="宋体"/>
          <w:kern w:val="0"/>
          <w:szCs w:val="21"/>
        </w:rPr>
        <w:t>；</w:t>
      </w:r>
      <w:r>
        <w:rPr>
          <w:rFonts w:hint="eastAsia" w:hAnsi="宋体"/>
          <w:kern w:val="0"/>
          <w:szCs w:val="21"/>
          <w:lang w:val="en-US"/>
        </w:rPr>
        <w:t>2、专利</w:t>
      </w:r>
      <w:r>
        <w:rPr>
          <w:rFonts w:hint="eastAsia" w:hAnsi="宋体"/>
          <w:kern w:val="0"/>
          <w:szCs w:val="21"/>
        </w:rPr>
        <w:t>确认单；</w:t>
      </w:r>
      <w:r>
        <w:rPr>
          <w:rFonts w:hint="eastAsia" w:hAnsi="宋体"/>
          <w:kern w:val="0"/>
          <w:szCs w:val="21"/>
          <w:lang w:val="en-US"/>
        </w:rPr>
        <w:t>3、委托书授权证明</w:t>
      </w:r>
    </w:p>
    <w:p>
      <w:pPr>
        <w:pStyle w:val="5"/>
        <w:numPr>
          <w:ilvl w:val="255"/>
          <w:numId w:val="0"/>
        </w:numPr>
        <w:adjustRightInd w:val="0"/>
        <w:snapToGrid w:val="0"/>
        <w:spacing w:line="560" w:lineRule="exact"/>
        <w:ind w:firstLine="420" w:firstLineChars="200"/>
        <w:rPr>
          <w:rFonts w:hAnsi="宋体"/>
          <w:kern w:val="0"/>
          <w:szCs w:val="21"/>
        </w:rPr>
      </w:pPr>
      <w:r>
        <w:rPr>
          <w:rFonts w:hint="eastAsia" w:hAnsi="宋体"/>
          <w:kern w:val="0"/>
          <w:szCs w:val="21"/>
        </w:rPr>
        <w:t>双方就本合同项下需要发出或确认的内容，可以采取书面或电子邮件形式发送至本合同载明的对方地址或电子邮箱。任何一方需向对方发出解除通知的，应采取书面形式，按照本合同载明的对方地址及联系方式以当面或专人快递（EMS、顺丰）方式送达对方。电子邮件自送达对方系统后即视为送达。当面交付或快递自签收、代收、拒收、退回或发出五日后即视为送达（以时间在先者为准），送达后生效。如一方欲改变通知地址、联系人等，应提前五个工作日以书面形式通知另一方，否则变更方应承担由此造成的一切后果，并且其所作出的变更不发生法律效力。一方未在合同中填写地址的，视为默认其工商营业执照登记地址为其有效的送达地址。</w:t>
      </w:r>
    </w:p>
    <w:p>
      <w:pPr>
        <w:pStyle w:val="18"/>
        <w:numPr>
          <w:ilvl w:val="0"/>
          <w:numId w:val="0"/>
        </w:numPr>
        <w:snapToGrid w:val="0"/>
        <w:spacing w:line="560" w:lineRule="exact"/>
        <w:rPr>
          <w:b/>
          <w:bCs/>
          <w:kern w:val="0"/>
        </w:rPr>
      </w:pPr>
      <w:r>
        <w:rPr>
          <w:kern w:val="0"/>
        </w:rPr>
        <w:t xml:space="preserve">    </w:t>
      </w:r>
      <w:r>
        <w:rPr>
          <w:b/>
          <w:bCs/>
          <w:kern w:val="0"/>
        </w:rPr>
        <w:t>1</w:t>
      </w:r>
      <w:r>
        <w:rPr>
          <w:rFonts w:hint="eastAsia"/>
          <w:b/>
          <w:bCs/>
          <w:kern w:val="0"/>
        </w:rPr>
        <w:t>8</w:t>
      </w:r>
      <w:r>
        <w:rPr>
          <w:b/>
          <w:bCs/>
          <w:kern w:val="0"/>
        </w:rPr>
        <w:t>.份数</w:t>
      </w:r>
    </w:p>
    <w:p>
      <w:pPr>
        <w:pStyle w:val="18"/>
        <w:numPr>
          <w:ilvl w:val="0"/>
          <w:numId w:val="0"/>
        </w:numPr>
        <w:snapToGrid w:val="0"/>
        <w:spacing w:line="560" w:lineRule="exact"/>
        <w:ind w:firstLine="420" w:firstLineChars="200"/>
        <w:rPr>
          <w:kern w:val="0"/>
        </w:rPr>
      </w:pPr>
      <w:r>
        <w:rPr>
          <w:kern w:val="0"/>
        </w:rPr>
        <w:t>本合</w:t>
      </w:r>
      <w:r>
        <w:rPr>
          <w:rFonts w:hint="eastAsia"/>
          <w:kern w:val="0"/>
          <w:lang w:val="zh-CN"/>
        </w:rPr>
        <w:t xml:space="preserve">同一式贰份，甲乙双方各执壹份。 </w:t>
      </w:r>
    </w:p>
    <w:p>
      <w:pPr>
        <w:pStyle w:val="18"/>
        <w:numPr>
          <w:ilvl w:val="0"/>
          <w:numId w:val="0"/>
        </w:numPr>
        <w:snapToGrid w:val="0"/>
        <w:spacing w:line="560" w:lineRule="exact"/>
        <w:rPr>
          <w:kern w:val="0"/>
        </w:rPr>
      </w:pPr>
      <w:r>
        <w:rPr>
          <w:kern w:val="0"/>
        </w:rPr>
        <w:t xml:space="preserve">      </w:t>
      </w:r>
    </w:p>
    <w:p>
      <w:pPr>
        <w:widowControl/>
        <w:jc w:val="left"/>
        <w:rPr>
          <w:kern w:val="0"/>
        </w:rPr>
      </w:pPr>
      <w:r>
        <w:rPr>
          <w:kern w:val="0"/>
        </w:rPr>
        <w:t>（以下无正文）</w:t>
      </w:r>
    </w:p>
    <w:p>
      <w:pPr>
        <w:pStyle w:val="18"/>
        <w:numPr>
          <w:ilvl w:val="0"/>
          <w:numId w:val="0"/>
        </w:numPr>
        <w:snapToGrid w:val="0"/>
        <w:spacing w:line="560" w:lineRule="exact"/>
        <w:rPr>
          <w:kern w:val="0"/>
        </w:rPr>
      </w:pPr>
    </w:p>
    <w:p>
      <w:pPr>
        <w:pStyle w:val="18"/>
        <w:numPr>
          <w:ilvl w:val="0"/>
          <w:numId w:val="0"/>
        </w:numPr>
        <w:snapToGrid w:val="0"/>
        <w:spacing w:line="560" w:lineRule="exact"/>
        <w:rPr>
          <w:b/>
          <w:kern w:val="0"/>
        </w:rPr>
      </w:pPr>
    </w:p>
    <w:p>
      <w:pPr>
        <w:pStyle w:val="18"/>
        <w:numPr>
          <w:ilvl w:val="0"/>
          <w:numId w:val="0"/>
        </w:numPr>
        <w:snapToGrid w:val="0"/>
        <w:spacing w:line="560" w:lineRule="exact"/>
        <w:rPr>
          <w:b/>
          <w:kern w:val="0"/>
        </w:rPr>
      </w:pPr>
      <w:r>
        <w:rPr>
          <w:rFonts w:hint="eastAsia"/>
          <w:b/>
          <w:kern w:val="0"/>
        </w:rPr>
        <w:t>甲方</w:t>
      </w:r>
      <w:r>
        <w:rPr>
          <w:b/>
          <w:kern w:val="0"/>
        </w:rPr>
        <w:t>：</w:t>
      </w:r>
      <w:r>
        <w:rPr>
          <w:rFonts w:hint="eastAsia"/>
          <w:b/>
          <w:kern w:val="0"/>
        </w:rPr>
        <w:t>安路普（北京）汽车技术有限公司</w:t>
      </w:r>
    </w:p>
    <w:p>
      <w:pPr>
        <w:pStyle w:val="18"/>
        <w:numPr>
          <w:ilvl w:val="0"/>
          <w:numId w:val="0"/>
        </w:numPr>
        <w:snapToGrid w:val="0"/>
        <w:spacing w:line="560" w:lineRule="exact"/>
        <w:rPr>
          <w:kern w:val="0"/>
        </w:rPr>
      </w:pPr>
    </w:p>
    <w:p>
      <w:pPr>
        <w:pStyle w:val="18"/>
        <w:numPr>
          <w:ilvl w:val="0"/>
          <w:numId w:val="0"/>
        </w:numPr>
        <w:snapToGrid w:val="0"/>
        <w:spacing w:line="560" w:lineRule="exact"/>
        <w:rPr>
          <w:kern w:val="0"/>
        </w:rPr>
      </w:pPr>
      <w:r>
        <w:rPr>
          <w:kern w:val="0"/>
        </w:rPr>
        <w:t xml:space="preserve">代表（盖章）：                </w:t>
      </w:r>
    </w:p>
    <w:p>
      <w:pPr>
        <w:pStyle w:val="18"/>
        <w:numPr>
          <w:ilvl w:val="0"/>
          <w:numId w:val="0"/>
        </w:numPr>
        <w:snapToGrid w:val="0"/>
        <w:spacing w:line="560" w:lineRule="exact"/>
        <w:rPr>
          <w:kern w:val="0"/>
        </w:rPr>
      </w:pPr>
      <w:r>
        <w:rPr>
          <w:kern w:val="0"/>
        </w:rPr>
        <w:t xml:space="preserve">                                      年    月   日</w:t>
      </w:r>
    </w:p>
    <w:p>
      <w:pPr>
        <w:pStyle w:val="18"/>
        <w:numPr>
          <w:ilvl w:val="0"/>
          <w:numId w:val="0"/>
        </w:numPr>
        <w:snapToGrid w:val="0"/>
        <w:spacing w:line="560" w:lineRule="exact"/>
        <w:rPr>
          <w:kern w:val="0"/>
        </w:rPr>
      </w:pPr>
    </w:p>
    <w:p>
      <w:pPr>
        <w:pStyle w:val="18"/>
        <w:numPr>
          <w:ilvl w:val="0"/>
          <w:numId w:val="0"/>
        </w:numPr>
        <w:snapToGrid w:val="0"/>
        <w:spacing w:line="560" w:lineRule="exact"/>
        <w:rPr>
          <w:b/>
          <w:kern w:val="0"/>
        </w:rPr>
      </w:pPr>
      <w:r>
        <w:rPr>
          <w:rFonts w:hint="eastAsia"/>
          <w:b/>
          <w:kern w:val="0"/>
        </w:rPr>
        <w:t>乙方</w:t>
      </w:r>
      <w:r>
        <w:rPr>
          <w:b/>
          <w:kern w:val="0"/>
        </w:rPr>
        <w:t>：</w:t>
      </w:r>
      <w:r>
        <w:fldChar w:fldCharType="begin"/>
      </w:r>
      <w:r>
        <w:instrText xml:space="preserve"> HYPERLINK "https://www.tianyancha.com/company/3267874951" \t "https://www.tianyancha.com/_blank" </w:instrText>
      </w:r>
      <w:r>
        <w:fldChar w:fldCharType="separate"/>
      </w:r>
      <w:r>
        <w:rPr>
          <w:rFonts w:hint="eastAsia"/>
          <w:b/>
          <w:kern w:val="0"/>
        </w:rPr>
        <w:t>北京超凡宏宇专利代理事务所（特殊普通合伙）</w:t>
      </w:r>
      <w:r>
        <w:rPr>
          <w:rFonts w:hint="eastAsia"/>
          <w:b/>
          <w:kern w:val="0"/>
        </w:rPr>
        <w:fldChar w:fldCharType="end"/>
      </w:r>
      <w:r>
        <w:rPr>
          <w:rFonts w:hint="eastAsia"/>
          <w:b/>
          <w:kern w:val="0"/>
        </w:rPr>
        <w:t xml:space="preserve"> </w:t>
      </w:r>
    </w:p>
    <w:p>
      <w:pPr>
        <w:pStyle w:val="18"/>
        <w:numPr>
          <w:ilvl w:val="0"/>
          <w:numId w:val="0"/>
        </w:numPr>
        <w:snapToGrid w:val="0"/>
        <w:spacing w:line="560" w:lineRule="exact"/>
        <w:rPr>
          <w:kern w:val="0"/>
        </w:rPr>
      </w:pPr>
    </w:p>
    <w:p>
      <w:pPr>
        <w:pStyle w:val="18"/>
        <w:numPr>
          <w:ilvl w:val="0"/>
          <w:numId w:val="0"/>
        </w:numPr>
        <w:snapToGrid w:val="0"/>
        <w:spacing w:line="560" w:lineRule="exact"/>
        <w:rPr>
          <w:kern w:val="0"/>
        </w:rPr>
      </w:pPr>
      <w:r>
        <w:rPr>
          <w:kern w:val="0"/>
        </w:rPr>
        <w:t>代表（盖章）：</w:t>
      </w:r>
    </w:p>
    <w:p>
      <w:pPr>
        <w:pStyle w:val="18"/>
        <w:numPr>
          <w:ilvl w:val="0"/>
          <w:numId w:val="0"/>
        </w:numPr>
        <w:snapToGrid w:val="0"/>
        <w:spacing w:line="560" w:lineRule="exact"/>
        <w:rPr>
          <w:kern w:val="0"/>
        </w:rPr>
      </w:pPr>
      <w:r>
        <w:rPr>
          <w:kern w:val="0"/>
        </w:rPr>
        <w:t xml:space="preserve">                                      年    月   日</w:t>
      </w:r>
      <w:bookmarkStart w:id="2" w:name="_Toc461528808"/>
      <w:bookmarkEnd w:id="2"/>
      <w:bookmarkStart w:id="3" w:name="_Toc461528795"/>
      <w:bookmarkEnd w:id="3"/>
      <w:bookmarkStart w:id="4" w:name="_Toc461528784"/>
      <w:bookmarkEnd w:id="4"/>
      <w:bookmarkStart w:id="5" w:name="_Toc461528819"/>
      <w:bookmarkEnd w:id="5"/>
      <w:bookmarkStart w:id="6" w:name="_Toc461528751"/>
      <w:bookmarkEnd w:id="6"/>
      <w:bookmarkStart w:id="7" w:name="_Toc461528754"/>
      <w:bookmarkEnd w:id="7"/>
      <w:bookmarkStart w:id="8" w:name="_Toc461528796"/>
      <w:bookmarkEnd w:id="8"/>
      <w:bookmarkStart w:id="9" w:name="_Toc461528759"/>
      <w:bookmarkEnd w:id="9"/>
      <w:bookmarkStart w:id="10" w:name="_Toc461528790"/>
      <w:bookmarkEnd w:id="10"/>
      <w:bookmarkStart w:id="11" w:name="_Toc461528823"/>
      <w:bookmarkEnd w:id="11"/>
      <w:bookmarkStart w:id="12" w:name="_Toc461528780"/>
      <w:bookmarkEnd w:id="12"/>
      <w:bookmarkStart w:id="13" w:name="_Toc461528793"/>
      <w:bookmarkEnd w:id="13"/>
      <w:bookmarkStart w:id="14" w:name="_Toc461528802"/>
      <w:bookmarkEnd w:id="14"/>
      <w:bookmarkStart w:id="15" w:name="_Toc461528765"/>
      <w:bookmarkEnd w:id="15"/>
      <w:bookmarkStart w:id="16" w:name="_Toc461528826"/>
      <w:bookmarkEnd w:id="16"/>
      <w:bookmarkStart w:id="17" w:name="_Toc461528788"/>
      <w:bookmarkEnd w:id="17"/>
      <w:bookmarkStart w:id="18" w:name="_Toc461528761"/>
      <w:bookmarkEnd w:id="18"/>
      <w:bookmarkStart w:id="19" w:name="_Toc461528774"/>
      <w:bookmarkEnd w:id="19"/>
      <w:bookmarkStart w:id="20" w:name="_Toc461528825"/>
      <w:bookmarkEnd w:id="20"/>
      <w:bookmarkStart w:id="21" w:name="_Toc461528785"/>
      <w:bookmarkEnd w:id="21"/>
      <w:bookmarkStart w:id="22" w:name="_Toc461528787"/>
      <w:bookmarkEnd w:id="22"/>
      <w:bookmarkStart w:id="23" w:name="_Toc461528752"/>
      <w:bookmarkEnd w:id="23"/>
      <w:bookmarkStart w:id="24" w:name="_Toc461528779"/>
      <w:bookmarkEnd w:id="24"/>
      <w:bookmarkStart w:id="25" w:name="_Toc461528811"/>
      <w:bookmarkEnd w:id="25"/>
      <w:bookmarkStart w:id="26" w:name="_Toc461528798"/>
      <w:bookmarkEnd w:id="26"/>
      <w:bookmarkStart w:id="27" w:name="_Toc461528806"/>
      <w:bookmarkEnd w:id="27"/>
      <w:bookmarkStart w:id="28" w:name="_Toc461528821"/>
      <w:bookmarkEnd w:id="28"/>
      <w:bookmarkStart w:id="29" w:name="_Toc461528805"/>
      <w:bookmarkEnd w:id="29"/>
      <w:bookmarkStart w:id="30" w:name="_Toc461528775"/>
      <w:bookmarkEnd w:id="30"/>
      <w:bookmarkStart w:id="31" w:name="_Toc461528807"/>
      <w:bookmarkEnd w:id="31"/>
      <w:bookmarkStart w:id="32" w:name="_Toc461528803"/>
      <w:bookmarkEnd w:id="32"/>
      <w:bookmarkStart w:id="33" w:name="_Toc461528822"/>
      <w:bookmarkEnd w:id="33"/>
      <w:bookmarkStart w:id="34" w:name="_Toc461528756"/>
      <w:bookmarkEnd w:id="34"/>
      <w:bookmarkStart w:id="35" w:name="_Toc461528763"/>
      <w:bookmarkEnd w:id="35"/>
      <w:bookmarkStart w:id="36" w:name="_Toc461528827"/>
      <w:bookmarkEnd w:id="36"/>
      <w:bookmarkStart w:id="37" w:name="_Toc461528777"/>
      <w:bookmarkEnd w:id="37"/>
      <w:bookmarkStart w:id="38" w:name="_Toc461528781"/>
      <w:bookmarkEnd w:id="38"/>
      <w:bookmarkStart w:id="39" w:name="_Toc461528767"/>
      <w:bookmarkEnd w:id="39"/>
      <w:bookmarkStart w:id="40" w:name="_Toc461528770"/>
      <w:bookmarkEnd w:id="40"/>
      <w:bookmarkStart w:id="41" w:name="_Toc461528764"/>
      <w:bookmarkEnd w:id="41"/>
      <w:bookmarkStart w:id="42" w:name="_Toc461528769"/>
      <w:bookmarkEnd w:id="42"/>
      <w:bookmarkStart w:id="43" w:name="_Toc461528776"/>
      <w:bookmarkEnd w:id="43"/>
      <w:bookmarkStart w:id="44" w:name="_Toc461528762"/>
      <w:bookmarkEnd w:id="44"/>
      <w:bookmarkStart w:id="45" w:name="_Toc461528804"/>
      <w:bookmarkEnd w:id="45"/>
      <w:bookmarkStart w:id="46" w:name="_Toc461528810"/>
      <w:bookmarkEnd w:id="46"/>
      <w:bookmarkStart w:id="47" w:name="_Toc461528782"/>
      <w:bookmarkEnd w:id="47"/>
      <w:bookmarkStart w:id="48" w:name="_Toc461528828"/>
      <w:bookmarkEnd w:id="48"/>
      <w:bookmarkStart w:id="49" w:name="_Toc461528778"/>
      <w:bookmarkEnd w:id="49"/>
      <w:bookmarkStart w:id="50" w:name="_Toc461528820"/>
      <w:bookmarkEnd w:id="50"/>
      <w:bookmarkStart w:id="51" w:name="_Toc461528817"/>
      <w:bookmarkEnd w:id="51"/>
      <w:bookmarkStart w:id="52" w:name="_Toc461528799"/>
      <w:bookmarkEnd w:id="52"/>
      <w:bookmarkStart w:id="53" w:name="_Toc461528824"/>
      <w:bookmarkEnd w:id="53"/>
      <w:bookmarkStart w:id="54" w:name="_Toc461528783"/>
      <w:bookmarkEnd w:id="54"/>
      <w:bookmarkStart w:id="55" w:name="_Toc461528809"/>
      <w:bookmarkEnd w:id="55"/>
      <w:bookmarkStart w:id="56" w:name="_Toc461528768"/>
      <w:bookmarkEnd w:id="56"/>
      <w:bookmarkStart w:id="57" w:name="_Toc461528773"/>
      <w:bookmarkEnd w:id="57"/>
      <w:bookmarkStart w:id="58" w:name="_Toc461528791"/>
      <w:bookmarkEnd w:id="58"/>
      <w:bookmarkStart w:id="59" w:name="_Toc461528813"/>
      <w:bookmarkEnd w:id="59"/>
      <w:bookmarkStart w:id="60" w:name="_Toc461528812"/>
      <w:bookmarkEnd w:id="60"/>
      <w:bookmarkStart w:id="61" w:name="_Toc461528818"/>
      <w:bookmarkEnd w:id="61"/>
      <w:bookmarkStart w:id="62" w:name="_Toc461528797"/>
      <w:bookmarkEnd w:id="62"/>
      <w:bookmarkStart w:id="63" w:name="_Toc461528772"/>
      <w:bookmarkEnd w:id="63"/>
      <w:bookmarkStart w:id="64" w:name="_Toc461528792"/>
      <w:bookmarkEnd w:id="64"/>
      <w:bookmarkStart w:id="65" w:name="_Toc461528766"/>
      <w:bookmarkEnd w:id="65"/>
      <w:bookmarkStart w:id="66" w:name="_Toc461528789"/>
      <w:bookmarkEnd w:id="66"/>
      <w:bookmarkStart w:id="67" w:name="_Toc461528760"/>
      <w:bookmarkEnd w:id="67"/>
      <w:bookmarkStart w:id="68" w:name="_Toc461528786"/>
      <w:bookmarkEnd w:id="68"/>
      <w:bookmarkStart w:id="69" w:name="_Toc461528753"/>
      <w:bookmarkEnd w:id="69"/>
      <w:bookmarkStart w:id="70" w:name="_Toc461528771"/>
      <w:bookmarkEnd w:id="70"/>
      <w:bookmarkStart w:id="71" w:name="_Toc461528801"/>
      <w:bookmarkEnd w:id="71"/>
      <w:bookmarkStart w:id="72" w:name="_Toc461528815"/>
      <w:bookmarkEnd w:id="72"/>
      <w:bookmarkStart w:id="73" w:name="_Toc461528814"/>
      <w:bookmarkEnd w:id="73"/>
    </w:p>
    <w:p>
      <w:pPr>
        <w:spacing w:line="540" w:lineRule="exact"/>
        <w:rPr>
          <w:rFonts w:ascii="宋体" w:hAnsi="宋体"/>
          <w:kern w:val="0"/>
          <w:szCs w:val="21"/>
        </w:rPr>
      </w:pPr>
      <w:r>
        <w:rPr>
          <w:b/>
          <w:kern w:val="0"/>
        </w:rPr>
        <w:br w:type="page"/>
      </w:r>
      <w:r>
        <w:rPr>
          <w:rFonts w:hint="eastAsia" w:ascii="宋体" w:hAnsi="宋体"/>
          <w:b/>
          <w:kern w:val="0"/>
          <w:szCs w:val="21"/>
        </w:rPr>
        <w:t>附件1：</w:t>
      </w:r>
      <w:r>
        <w:rPr>
          <w:rFonts w:hint="eastAsia" w:ascii="宋体" w:hAnsi="宋体"/>
          <w:kern w:val="0"/>
          <w:szCs w:val="21"/>
        </w:rPr>
        <w:t>价格明细表（不适用项目填“无”，计价货币：人民币，</w:t>
      </w:r>
      <w:r>
        <w:rPr>
          <w:rFonts w:hint="eastAsia" w:ascii="宋体" w:hAnsi="宋体"/>
          <w:color w:val="auto"/>
          <w:kern w:val="0"/>
          <w:szCs w:val="21"/>
        </w:rPr>
        <w:t>如下所有价格均含税</w:t>
      </w:r>
      <w:r>
        <w:rPr>
          <w:rFonts w:hint="eastAsia" w:ascii="宋体" w:hAnsi="宋体"/>
          <w:kern w:val="0"/>
          <w:szCs w:val="21"/>
        </w:rPr>
        <w:t>）</w:t>
      </w:r>
    </w:p>
    <w:tbl>
      <w:tblPr>
        <w:tblStyle w:val="11"/>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2552"/>
        <w:gridCol w:w="2260"/>
        <w:gridCol w:w="1271"/>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24" w:type="dxa"/>
            <w:gridSpan w:val="5"/>
            <w:vAlign w:val="center"/>
          </w:tcPr>
          <w:p>
            <w:pPr>
              <w:adjustRightInd w:val="0"/>
              <w:spacing w:line="312" w:lineRule="atLeast"/>
              <w:jc w:val="center"/>
              <w:textAlignment w:val="baseline"/>
              <w:rPr>
                <w:rFonts w:ascii="宋体" w:hAnsi="宋体" w:cs="宋体"/>
                <w:b/>
                <w:bCs/>
                <w:color w:val="000000"/>
                <w:sz w:val="18"/>
                <w:szCs w:val="18"/>
              </w:rPr>
            </w:pPr>
            <w:r>
              <w:rPr>
                <w:rFonts w:hint="eastAsia" w:ascii="宋体" w:hAnsi="宋体" w:cs="宋体"/>
                <w:b/>
                <w:bCs/>
                <w:color w:val="000000"/>
                <w:sz w:val="18"/>
                <w:szCs w:val="18"/>
              </w:rPr>
              <w:t>专利、检索咨询、转移转化及项目认定服务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2" w:type="dxa"/>
            <w:vAlign w:val="center"/>
          </w:tcPr>
          <w:p>
            <w:pPr>
              <w:adjustRightInd w:val="0"/>
              <w:spacing w:line="312" w:lineRule="atLeast"/>
              <w:jc w:val="center"/>
              <w:textAlignment w:val="baseline"/>
              <w:rPr>
                <w:rFonts w:ascii="宋体" w:hAnsi="宋体" w:cs="宋体"/>
                <w:b/>
                <w:bCs/>
                <w:color w:val="000000"/>
                <w:sz w:val="18"/>
                <w:szCs w:val="18"/>
              </w:rPr>
            </w:pPr>
            <w:r>
              <w:rPr>
                <w:rFonts w:hint="eastAsia" w:ascii="宋体" w:hAnsi="宋体" w:cs="宋体"/>
                <w:b/>
                <w:bCs/>
                <w:color w:val="000000"/>
                <w:sz w:val="18"/>
                <w:szCs w:val="18"/>
              </w:rPr>
              <w:t>序号</w:t>
            </w:r>
          </w:p>
        </w:tc>
        <w:tc>
          <w:tcPr>
            <w:tcW w:w="2552" w:type="dxa"/>
            <w:vAlign w:val="center"/>
          </w:tcPr>
          <w:p>
            <w:pPr>
              <w:adjustRightInd w:val="0"/>
              <w:spacing w:line="312" w:lineRule="atLeast"/>
              <w:jc w:val="center"/>
              <w:textAlignment w:val="baseline"/>
              <w:rPr>
                <w:rFonts w:ascii="宋体" w:hAnsi="宋体" w:cs="宋体"/>
                <w:b/>
                <w:bCs/>
                <w:color w:val="000000"/>
                <w:sz w:val="18"/>
                <w:szCs w:val="18"/>
              </w:rPr>
            </w:pPr>
            <w:r>
              <w:rPr>
                <w:rFonts w:hint="eastAsia" w:ascii="宋体" w:hAnsi="宋体" w:cs="宋体"/>
                <w:b/>
                <w:bCs/>
                <w:color w:val="000000"/>
                <w:sz w:val="18"/>
                <w:szCs w:val="18"/>
              </w:rPr>
              <w:t>项目</w:t>
            </w:r>
          </w:p>
        </w:tc>
        <w:tc>
          <w:tcPr>
            <w:tcW w:w="2260" w:type="dxa"/>
            <w:vAlign w:val="center"/>
          </w:tcPr>
          <w:p>
            <w:pPr>
              <w:adjustRightInd w:val="0"/>
              <w:spacing w:line="312" w:lineRule="atLeast"/>
              <w:jc w:val="center"/>
              <w:textAlignment w:val="baseline"/>
              <w:rPr>
                <w:rFonts w:ascii="宋体" w:hAnsi="宋体" w:cs="宋体"/>
                <w:b/>
                <w:bCs/>
                <w:color w:val="000000"/>
                <w:sz w:val="18"/>
                <w:szCs w:val="18"/>
              </w:rPr>
            </w:pPr>
            <w:r>
              <w:rPr>
                <w:rFonts w:hint="eastAsia" w:ascii="宋体" w:hAnsi="宋体" w:cs="宋体"/>
                <w:b/>
                <w:bCs/>
                <w:color w:val="000000"/>
                <w:sz w:val="18"/>
                <w:szCs w:val="18"/>
              </w:rPr>
              <w:t>官费</w:t>
            </w:r>
          </w:p>
          <w:p>
            <w:pPr>
              <w:adjustRightInd w:val="0"/>
              <w:spacing w:line="312" w:lineRule="atLeast"/>
              <w:jc w:val="center"/>
              <w:textAlignment w:val="baseline"/>
              <w:rPr>
                <w:rFonts w:ascii="宋体" w:hAnsi="宋体" w:cs="宋体"/>
                <w:b/>
                <w:bCs/>
                <w:color w:val="000000"/>
                <w:sz w:val="18"/>
                <w:szCs w:val="18"/>
              </w:rPr>
            </w:pPr>
            <w:r>
              <w:rPr>
                <w:rFonts w:hint="eastAsia" w:ascii="宋体" w:hAnsi="宋体" w:cs="宋体"/>
                <w:b/>
                <w:bCs/>
                <w:color w:val="000000"/>
                <w:sz w:val="18"/>
                <w:szCs w:val="18"/>
              </w:rPr>
              <w:t>（元/件）</w:t>
            </w:r>
          </w:p>
        </w:tc>
        <w:tc>
          <w:tcPr>
            <w:tcW w:w="1271" w:type="dxa"/>
            <w:vAlign w:val="center"/>
          </w:tcPr>
          <w:p>
            <w:pPr>
              <w:adjustRightInd w:val="0"/>
              <w:spacing w:line="312" w:lineRule="atLeast"/>
              <w:jc w:val="center"/>
              <w:textAlignment w:val="baseline"/>
              <w:rPr>
                <w:rFonts w:ascii="宋体" w:hAnsi="宋体" w:cs="宋体"/>
                <w:b/>
                <w:bCs/>
                <w:color w:val="000000"/>
                <w:sz w:val="18"/>
                <w:szCs w:val="18"/>
              </w:rPr>
            </w:pPr>
            <w:r>
              <w:rPr>
                <w:rFonts w:hint="eastAsia" w:ascii="宋体" w:hAnsi="宋体" w:cs="宋体"/>
                <w:b/>
                <w:bCs/>
                <w:color w:val="000000"/>
                <w:sz w:val="18"/>
                <w:szCs w:val="18"/>
              </w:rPr>
              <w:t>代理费</w:t>
            </w:r>
          </w:p>
          <w:p>
            <w:pPr>
              <w:adjustRightInd w:val="0"/>
              <w:spacing w:line="312" w:lineRule="atLeast"/>
              <w:jc w:val="center"/>
              <w:textAlignment w:val="baseline"/>
              <w:rPr>
                <w:rFonts w:ascii="宋体" w:hAnsi="宋体" w:cs="宋体"/>
                <w:b/>
                <w:bCs/>
                <w:color w:val="000000"/>
                <w:sz w:val="18"/>
                <w:szCs w:val="18"/>
              </w:rPr>
            </w:pPr>
            <w:r>
              <w:rPr>
                <w:rFonts w:hint="eastAsia" w:ascii="宋体" w:hAnsi="宋体" w:cs="宋体"/>
                <w:b/>
                <w:bCs/>
                <w:color w:val="000000"/>
                <w:sz w:val="18"/>
                <w:szCs w:val="18"/>
              </w:rPr>
              <w:t>（元/件）</w:t>
            </w:r>
          </w:p>
        </w:tc>
        <w:tc>
          <w:tcPr>
            <w:tcW w:w="2249" w:type="dxa"/>
            <w:vAlign w:val="center"/>
          </w:tcPr>
          <w:p>
            <w:pPr>
              <w:adjustRightInd w:val="0"/>
              <w:spacing w:line="312" w:lineRule="atLeast"/>
              <w:jc w:val="center"/>
              <w:textAlignment w:val="baseline"/>
              <w:rPr>
                <w:rFonts w:ascii="宋体" w:hAnsi="宋体" w:cs="宋体"/>
                <w:b/>
                <w:bCs/>
                <w:color w:val="000000"/>
                <w:sz w:val="18"/>
                <w:szCs w:val="18"/>
              </w:rPr>
            </w:pPr>
            <w:r>
              <w:rPr>
                <w:rFonts w:hint="eastAsia" w:ascii="宋体" w:hAnsi="宋体" w:cs="宋体"/>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发明专利</w:t>
            </w:r>
          </w:p>
        </w:tc>
        <w:tc>
          <w:tcPr>
            <w:tcW w:w="2260" w:type="dxa"/>
            <w:vAlign w:val="center"/>
          </w:tcPr>
          <w:p>
            <w:pPr>
              <w:spacing w:line="360" w:lineRule="auto"/>
              <w:rPr>
                <w:rFonts w:ascii="新宋体" w:hAnsi="新宋体" w:eastAsia="新宋体"/>
                <w:bCs/>
                <w:szCs w:val="21"/>
              </w:rPr>
            </w:pPr>
            <w:r>
              <w:rPr>
                <w:rFonts w:hint="eastAsia" w:ascii="新宋体" w:hAnsi="新宋体" w:eastAsia="新宋体"/>
                <w:bCs/>
                <w:szCs w:val="21"/>
              </w:rPr>
              <w:t>申请费3450（费减前）</w:t>
            </w:r>
          </w:p>
          <w:p>
            <w:pPr>
              <w:spacing w:line="360" w:lineRule="auto"/>
              <w:rPr>
                <w:rFonts w:ascii="新宋体" w:hAnsi="新宋体" w:eastAsia="新宋体"/>
                <w:bCs/>
                <w:szCs w:val="21"/>
              </w:rPr>
            </w:pPr>
            <w:r>
              <w:rPr>
                <w:rFonts w:hint="eastAsia" w:ascii="新宋体" w:hAnsi="新宋体" w:eastAsia="新宋体"/>
                <w:bCs/>
                <w:szCs w:val="21"/>
              </w:rPr>
              <w:t>申请费560 （费减后）</w:t>
            </w:r>
          </w:p>
        </w:tc>
        <w:tc>
          <w:tcPr>
            <w:tcW w:w="1271" w:type="dxa"/>
            <w:vAlign w:val="center"/>
          </w:tcPr>
          <w:p>
            <w:pPr>
              <w:adjustRightInd w:val="0"/>
              <w:spacing w:line="312" w:lineRule="atLeast"/>
              <w:jc w:val="center"/>
              <w:textAlignment w:val="baseline"/>
              <w:rPr>
                <w:rFonts w:ascii="宋体" w:hAnsi="宋体"/>
                <w:sz w:val="18"/>
                <w:szCs w:val="18"/>
              </w:rPr>
            </w:pPr>
            <w:r>
              <w:rPr>
                <w:rFonts w:hint="eastAsia" w:ascii="宋体" w:hAnsi="宋体"/>
                <w:sz w:val="18"/>
                <w:szCs w:val="18"/>
              </w:rPr>
              <w:t>5500</w:t>
            </w:r>
          </w:p>
        </w:tc>
        <w:tc>
          <w:tcPr>
            <w:tcW w:w="2249" w:type="dxa"/>
            <w:vMerge w:val="restart"/>
            <w:vAlign w:val="center"/>
          </w:tcPr>
          <w:p>
            <w:pPr>
              <w:spacing w:line="360" w:lineRule="auto"/>
              <w:rPr>
                <w:rFonts w:ascii="新宋体" w:hAnsi="新宋体" w:eastAsia="新宋体"/>
                <w:bCs/>
                <w:szCs w:val="21"/>
              </w:rPr>
            </w:pPr>
            <w:r>
              <w:rPr>
                <w:rFonts w:hint="eastAsia" w:ascii="新宋体" w:hAnsi="新宋体" w:eastAsia="新宋体"/>
                <w:bCs/>
                <w:szCs w:val="21"/>
              </w:rPr>
              <w:t>委案后，7个工作日内反馈新颖性和创造性的检索结果（包括但不限于检索关键词和专利清单）；</w:t>
            </w:r>
          </w:p>
          <w:p>
            <w:pPr>
              <w:spacing w:line="360" w:lineRule="auto"/>
              <w:rPr>
                <w:rFonts w:ascii="新宋体" w:hAnsi="新宋体" w:eastAsia="新宋体"/>
                <w:bCs/>
                <w:szCs w:val="21"/>
              </w:rPr>
            </w:pPr>
            <w:r>
              <w:rPr>
                <w:rFonts w:hint="eastAsia" w:ascii="新宋体" w:hAnsi="新宋体" w:eastAsia="新宋体"/>
                <w:bCs/>
                <w:szCs w:val="21"/>
              </w:rPr>
              <w:t xml:space="preserve">20个工作日返初稿，服务费包含撰写、答复、流程等全部费用。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实用新型</w:t>
            </w:r>
          </w:p>
        </w:tc>
        <w:tc>
          <w:tcPr>
            <w:tcW w:w="2260" w:type="dxa"/>
            <w:vAlign w:val="center"/>
          </w:tcPr>
          <w:p>
            <w:pPr>
              <w:spacing w:line="360" w:lineRule="auto"/>
              <w:rPr>
                <w:rFonts w:ascii="新宋体" w:hAnsi="新宋体" w:eastAsia="新宋体"/>
                <w:bCs/>
                <w:szCs w:val="21"/>
              </w:rPr>
            </w:pPr>
            <w:r>
              <w:rPr>
                <w:rFonts w:hint="eastAsia" w:ascii="新宋体" w:hAnsi="新宋体" w:eastAsia="新宋体"/>
                <w:bCs/>
                <w:szCs w:val="21"/>
              </w:rPr>
              <w:t>申请费500 （费减前）</w:t>
            </w:r>
          </w:p>
          <w:p>
            <w:pPr>
              <w:spacing w:line="360" w:lineRule="auto"/>
              <w:rPr>
                <w:rFonts w:ascii="新宋体" w:hAnsi="新宋体" w:eastAsia="新宋体"/>
                <w:bCs/>
                <w:szCs w:val="21"/>
              </w:rPr>
            </w:pPr>
            <w:r>
              <w:rPr>
                <w:rFonts w:hint="eastAsia" w:ascii="新宋体" w:hAnsi="新宋体" w:eastAsia="新宋体"/>
                <w:bCs/>
                <w:szCs w:val="21"/>
              </w:rPr>
              <w:t>申请费75（费减后）</w:t>
            </w:r>
          </w:p>
        </w:tc>
        <w:tc>
          <w:tcPr>
            <w:tcW w:w="1271" w:type="dxa"/>
            <w:vAlign w:val="center"/>
          </w:tcPr>
          <w:p>
            <w:pPr>
              <w:adjustRightInd w:val="0"/>
              <w:spacing w:line="312" w:lineRule="atLeast"/>
              <w:jc w:val="center"/>
              <w:textAlignment w:val="baseline"/>
              <w:rPr>
                <w:rFonts w:ascii="宋体" w:hAnsi="宋体"/>
                <w:sz w:val="18"/>
                <w:szCs w:val="18"/>
              </w:rPr>
            </w:pPr>
            <w:r>
              <w:rPr>
                <w:rFonts w:hint="eastAsia" w:ascii="宋体" w:hAnsi="宋体"/>
                <w:sz w:val="18"/>
                <w:szCs w:val="18"/>
              </w:rPr>
              <w:t>2800</w:t>
            </w:r>
          </w:p>
        </w:tc>
        <w:tc>
          <w:tcPr>
            <w:tcW w:w="2249" w:type="dxa"/>
            <w:vMerge w:val="continue"/>
            <w:vAlign w:val="center"/>
          </w:tcPr>
          <w:p>
            <w:pPr>
              <w:spacing w:line="360" w:lineRule="auto"/>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发明+实用新型</w:t>
            </w:r>
          </w:p>
          <w:p>
            <w:pPr>
              <w:spacing w:line="360" w:lineRule="auto"/>
              <w:jc w:val="center"/>
              <w:rPr>
                <w:rFonts w:ascii="新宋体" w:hAnsi="新宋体" w:eastAsia="新宋体"/>
                <w:bCs/>
                <w:szCs w:val="21"/>
              </w:rPr>
            </w:pPr>
            <w:r>
              <w:rPr>
                <w:rFonts w:hint="eastAsia" w:ascii="新宋体" w:hAnsi="新宋体" w:eastAsia="新宋体"/>
                <w:bCs/>
                <w:szCs w:val="21"/>
              </w:rPr>
              <w:t>（一打二）</w:t>
            </w:r>
          </w:p>
        </w:tc>
        <w:tc>
          <w:tcPr>
            <w:tcW w:w="2260" w:type="dxa"/>
            <w:vAlign w:val="center"/>
          </w:tcPr>
          <w:p>
            <w:pPr>
              <w:spacing w:line="360" w:lineRule="auto"/>
              <w:rPr>
                <w:rFonts w:ascii="新宋体" w:hAnsi="新宋体" w:eastAsia="新宋体"/>
                <w:bCs/>
                <w:szCs w:val="21"/>
              </w:rPr>
            </w:pPr>
            <w:r>
              <w:rPr>
                <w:rFonts w:hint="eastAsia" w:ascii="新宋体" w:hAnsi="新宋体" w:eastAsia="新宋体"/>
                <w:bCs/>
                <w:szCs w:val="21"/>
              </w:rPr>
              <w:t>申请费3950（费减前）</w:t>
            </w:r>
          </w:p>
          <w:p>
            <w:pPr>
              <w:spacing w:line="360" w:lineRule="auto"/>
              <w:rPr>
                <w:rFonts w:ascii="宋体" w:hAnsi="宋体"/>
                <w:sz w:val="18"/>
                <w:szCs w:val="18"/>
              </w:rPr>
            </w:pPr>
            <w:r>
              <w:rPr>
                <w:rFonts w:hint="eastAsia" w:ascii="新宋体" w:hAnsi="新宋体" w:eastAsia="新宋体"/>
                <w:bCs/>
                <w:szCs w:val="21"/>
              </w:rPr>
              <w:t>申请费635 （费减后）</w:t>
            </w:r>
          </w:p>
        </w:tc>
        <w:tc>
          <w:tcPr>
            <w:tcW w:w="1271" w:type="dxa"/>
            <w:vAlign w:val="center"/>
          </w:tcPr>
          <w:p>
            <w:pPr>
              <w:adjustRightInd w:val="0"/>
              <w:spacing w:line="312" w:lineRule="atLeast"/>
              <w:jc w:val="center"/>
              <w:textAlignment w:val="baseline"/>
              <w:rPr>
                <w:rFonts w:ascii="宋体" w:hAnsi="宋体"/>
                <w:sz w:val="18"/>
                <w:szCs w:val="18"/>
              </w:rPr>
            </w:pPr>
            <w:r>
              <w:rPr>
                <w:rFonts w:hint="eastAsia" w:ascii="宋体" w:hAnsi="宋体"/>
                <w:sz w:val="18"/>
                <w:szCs w:val="18"/>
              </w:rPr>
              <w:t>7000</w:t>
            </w:r>
          </w:p>
        </w:tc>
        <w:tc>
          <w:tcPr>
            <w:tcW w:w="2249" w:type="dxa"/>
            <w:vMerge w:val="continue"/>
            <w:vAlign w:val="center"/>
          </w:tcPr>
          <w:p>
            <w:pPr>
              <w:spacing w:line="360" w:lineRule="auto"/>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外观专利</w:t>
            </w:r>
          </w:p>
        </w:tc>
        <w:tc>
          <w:tcPr>
            <w:tcW w:w="2260" w:type="dxa"/>
            <w:vAlign w:val="center"/>
          </w:tcPr>
          <w:p>
            <w:pPr>
              <w:spacing w:line="360" w:lineRule="auto"/>
              <w:rPr>
                <w:rFonts w:ascii="新宋体" w:hAnsi="新宋体" w:eastAsia="新宋体"/>
                <w:bCs/>
                <w:szCs w:val="21"/>
              </w:rPr>
            </w:pPr>
            <w:r>
              <w:rPr>
                <w:rFonts w:hint="eastAsia" w:ascii="新宋体" w:hAnsi="新宋体" w:eastAsia="新宋体"/>
                <w:bCs/>
                <w:szCs w:val="21"/>
              </w:rPr>
              <w:t>申请费500 （费减前）</w:t>
            </w:r>
          </w:p>
          <w:p>
            <w:pPr>
              <w:spacing w:line="360" w:lineRule="auto"/>
              <w:rPr>
                <w:rFonts w:ascii="宋体" w:hAnsi="宋体"/>
                <w:sz w:val="18"/>
                <w:szCs w:val="18"/>
              </w:rPr>
            </w:pPr>
            <w:r>
              <w:rPr>
                <w:rFonts w:hint="eastAsia" w:ascii="新宋体" w:hAnsi="新宋体" w:eastAsia="新宋体"/>
                <w:bCs/>
                <w:szCs w:val="21"/>
              </w:rPr>
              <w:t>申请费75  （费减后）</w:t>
            </w:r>
          </w:p>
        </w:tc>
        <w:tc>
          <w:tcPr>
            <w:tcW w:w="1271" w:type="dxa"/>
            <w:vAlign w:val="center"/>
          </w:tcPr>
          <w:p>
            <w:pPr>
              <w:adjustRightInd w:val="0"/>
              <w:spacing w:line="312" w:lineRule="atLeast"/>
              <w:jc w:val="center"/>
              <w:textAlignment w:val="baseline"/>
              <w:rPr>
                <w:rFonts w:ascii="宋体" w:hAnsi="宋体"/>
                <w:sz w:val="18"/>
                <w:szCs w:val="18"/>
              </w:rPr>
            </w:pPr>
            <w:r>
              <w:rPr>
                <w:rFonts w:hint="eastAsia" w:ascii="宋体" w:hAnsi="宋体"/>
                <w:sz w:val="18"/>
                <w:szCs w:val="18"/>
              </w:rPr>
              <w:t>800</w:t>
            </w:r>
          </w:p>
        </w:tc>
        <w:tc>
          <w:tcPr>
            <w:tcW w:w="2249" w:type="dxa"/>
            <w:vAlign w:val="center"/>
          </w:tcPr>
          <w:p>
            <w:pPr>
              <w:spacing w:line="360" w:lineRule="auto"/>
              <w:rPr>
                <w:rFonts w:ascii="新宋体" w:hAnsi="新宋体" w:eastAsia="新宋体"/>
                <w:bCs/>
                <w:szCs w:val="21"/>
              </w:rPr>
            </w:pPr>
            <w:r>
              <w:rPr>
                <w:rFonts w:hint="eastAsia" w:ascii="新宋体" w:hAnsi="新宋体" w:eastAsia="新宋体"/>
                <w:bCs/>
                <w:szCs w:val="21"/>
              </w:rPr>
              <w:t>3个工作日返稿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2" w:type="dxa"/>
            <w:vAlign w:val="center"/>
          </w:tcPr>
          <w:p>
            <w:pPr>
              <w:pStyle w:val="21"/>
              <w:numPr>
                <w:ilvl w:val="0"/>
                <w:numId w:val="4"/>
              </w:numPr>
              <w:tabs>
                <w:tab w:val="center" w:pos="1227"/>
              </w:tabs>
              <w:adjustRightInd w:val="0"/>
              <w:spacing w:line="312" w:lineRule="atLeast"/>
              <w:ind w:firstLineChars="0"/>
              <w:jc w:val="center"/>
              <w:textAlignment w:val="baseline"/>
              <w:rPr>
                <w:rFonts w:ascii="宋体" w:hAnsi="宋体" w:cs="宋体"/>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专利答复</w:t>
            </w:r>
          </w:p>
        </w:tc>
        <w:tc>
          <w:tcPr>
            <w:tcW w:w="2260"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0</w:t>
            </w:r>
          </w:p>
        </w:tc>
        <w:tc>
          <w:tcPr>
            <w:tcW w:w="1271"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3000</w:t>
            </w:r>
          </w:p>
        </w:tc>
        <w:tc>
          <w:tcPr>
            <w:tcW w:w="2249" w:type="dxa"/>
            <w:vAlign w:val="center"/>
          </w:tcPr>
          <w:p>
            <w:pPr>
              <w:spacing w:line="360" w:lineRule="auto"/>
              <w:rPr>
                <w:rFonts w:ascii="新宋体" w:hAnsi="新宋体" w:eastAsia="新宋体"/>
                <w:bCs/>
                <w:szCs w:val="21"/>
              </w:rPr>
            </w:pPr>
            <w:r>
              <w:rPr>
                <w:rFonts w:hint="eastAsia" w:ascii="新宋体" w:hAnsi="新宋体" w:eastAsia="新宋体"/>
                <w:bCs/>
                <w:szCs w:val="21"/>
                <w:lang w:val="en-US" w:eastAsia="zh-CN"/>
              </w:rPr>
              <w:t>该专利答复费用指的是从他所转过来的委托案的专利答复费用；</w:t>
            </w:r>
            <w:r>
              <w:rPr>
                <w:rFonts w:hint="eastAsia" w:ascii="新宋体" w:hAnsi="新宋体" w:eastAsia="新宋体"/>
                <w:bCs/>
                <w:szCs w:val="21"/>
              </w:rPr>
              <w:t>乙方应该在距离答复绝限日的前 1 个月内反馈答复稿件给甲方</w:t>
            </w:r>
            <w:r>
              <w:rPr>
                <w:rFonts w:hint="eastAsia" w:ascii="新宋体" w:hAnsi="新宋体" w:eastAsia="新宋体"/>
                <w:bCs/>
                <w:szCs w:val="21"/>
                <w:lang w:eastAsia="zh-CN"/>
              </w:rPr>
              <w:t>。</w:t>
            </w:r>
            <w:r>
              <w:rPr>
                <w:rFonts w:hint="eastAsia" w:ascii="新宋体" w:hAnsi="新宋体" w:eastAsia="新宋体"/>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2" w:type="dxa"/>
            <w:vAlign w:val="center"/>
          </w:tcPr>
          <w:p>
            <w:pPr>
              <w:pStyle w:val="21"/>
              <w:numPr>
                <w:ilvl w:val="0"/>
                <w:numId w:val="4"/>
              </w:numPr>
              <w:tabs>
                <w:tab w:val="center" w:pos="1227"/>
              </w:tabs>
              <w:adjustRightInd w:val="0"/>
              <w:spacing w:line="312" w:lineRule="atLeast"/>
              <w:ind w:firstLineChars="0"/>
              <w:jc w:val="center"/>
              <w:textAlignment w:val="baseline"/>
              <w:rPr>
                <w:rFonts w:ascii="宋体" w:hAnsi="宋体" w:cs="宋体"/>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专利转让</w:t>
            </w:r>
          </w:p>
        </w:tc>
        <w:tc>
          <w:tcPr>
            <w:tcW w:w="2260"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2</w:t>
            </w:r>
            <w:r>
              <w:rPr>
                <w:rFonts w:ascii="新宋体" w:hAnsi="新宋体" w:eastAsia="新宋体"/>
                <w:bCs/>
                <w:szCs w:val="21"/>
              </w:rPr>
              <w:t>0</w:t>
            </w:r>
            <w:r>
              <w:rPr>
                <w:rFonts w:hint="eastAsia" w:ascii="新宋体" w:hAnsi="新宋体" w:eastAsia="新宋体"/>
                <w:bCs/>
                <w:szCs w:val="21"/>
              </w:rPr>
              <w:t>0</w:t>
            </w:r>
          </w:p>
        </w:tc>
        <w:tc>
          <w:tcPr>
            <w:tcW w:w="1271"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500</w:t>
            </w:r>
          </w:p>
        </w:tc>
        <w:tc>
          <w:tcPr>
            <w:tcW w:w="2249" w:type="dxa"/>
            <w:vAlign w:val="center"/>
          </w:tcPr>
          <w:p>
            <w:pPr>
              <w:spacing w:line="360" w:lineRule="auto"/>
              <w:rPr>
                <w:rFonts w:ascii="新宋体" w:hAnsi="新宋体" w:eastAsia="新宋体"/>
                <w:bCs/>
                <w:szCs w:val="21"/>
              </w:rPr>
            </w:pPr>
            <w:r>
              <w:rPr>
                <w:rFonts w:hint="eastAsia" w:ascii="新宋体" w:hAnsi="新宋体" w:eastAsia="新宋体"/>
                <w:bCs/>
                <w:szCs w:val="21"/>
              </w:rPr>
              <w:t>1个月内可收到手续合格通知书；该费用包含30元登记簿副本费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2" w:type="dxa"/>
            <w:vMerge w:val="restart"/>
            <w:vAlign w:val="center"/>
          </w:tcPr>
          <w:p>
            <w:pPr>
              <w:pStyle w:val="21"/>
              <w:numPr>
                <w:ilvl w:val="0"/>
                <w:numId w:val="4"/>
              </w:numPr>
              <w:tabs>
                <w:tab w:val="center" w:pos="1227"/>
              </w:tabs>
              <w:adjustRightInd w:val="0"/>
              <w:spacing w:line="312" w:lineRule="atLeast"/>
              <w:ind w:firstLineChars="0"/>
              <w:jc w:val="center"/>
              <w:textAlignment w:val="baseline"/>
              <w:rPr>
                <w:rFonts w:ascii="宋体" w:hAnsi="宋体" w:cs="宋体"/>
                <w:sz w:val="18"/>
                <w:szCs w:val="18"/>
              </w:rPr>
            </w:pPr>
          </w:p>
        </w:tc>
        <w:tc>
          <w:tcPr>
            <w:tcW w:w="2552" w:type="dxa"/>
            <w:vMerge w:val="restart"/>
            <w:vAlign w:val="center"/>
          </w:tcPr>
          <w:p>
            <w:pPr>
              <w:spacing w:line="360" w:lineRule="auto"/>
              <w:jc w:val="center"/>
              <w:rPr>
                <w:rFonts w:ascii="新宋体" w:hAnsi="新宋体" w:eastAsia="新宋体"/>
                <w:bCs/>
                <w:szCs w:val="21"/>
              </w:rPr>
            </w:pPr>
            <w:r>
              <w:rPr>
                <w:rFonts w:hint="eastAsia" w:ascii="新宋体" w:hAnsi="新宋体" w:eastAsia="新宋体"/>
                <w:bCs/>
                <w:szCs w:val="21"/>
              </w:rPr>
              <w:t>专利复审请求</w:t>
            </w:r>
          </w:p>
        </w:tc>
        <w:tc>
          <w:tcPr>
            <w:tcW w:w="2260" w:type="dxa"/>
            <w:vMerge w:val="restart"/>
            <w:vAlign w:val="center"/>
          </w:tcPr>
          <w:p>
            <w:pPr>
              <w:spacing w:line="360" w:lineRule="auto"/>
              <w:jc w:val="center"/>
              <w:rPr>
                <w:rFonts w:ascii="新宋体" w:hAnsi="新宋体" w:eastAsia="新宋体"/>
                <w:bCs/>
                <w:szCs w:val="21"/>
              </w:rPr>
            </w:pPr>
            <w:r>
              <w:rPr>
                <w:rStyle w:val="15"/>
              </w:rPr>
              <w:commentReference w:id="0"/>
            </w:r>
            <w:r>
              <w:rPr>
                <w:rFonts w:hint="eastAsia" w:ascii="新宋体" w:hAnsi="新宋体" w:eastAsia="新宋体"/>
                <w:bCs/>
                <w:szCs w:val="21"/>
              </w:rPr>
              <w:t>官费1000（费减前）</w:t>
            </w:r>
          </w:p>
          <w:p>
            <w:pPr>
              <w:spacing w:line="360" w:lineRule="auto"/>
              <w:jc w:val="center"/>
              <w:rPr>
                <w:rFonts w:ascii="新宋体" w:hAnsi="新宋体" w:eastAsia="新宋体"/>
                <w:bCs/>
                <w:szCs w:val="21"/>
              </w:rPr>
            </w:pPr>
            <w:r>
              <w:rPr>
                <w:rFonts w:hint="eastAsia" w:ascii="新宋体" w:hAnsi="新宋体" w:eastAsia="新宋体"/>
                <w:bCs/>
                <w:szCs w:val="21"/>
              </w:rPr>
              <w:t>官费150（费减后）</w:t>
            </w:r>
          </w:p>
        </w:tc>
        <w:tc>
          <w:tcPr>
            <w:tcW w:w="1271"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5000</w:t>
            </w:r>
          </w:p>
        </w:tc>
        <w:tc>
          <w:tcPr>
            <w:tcW w:w="2249" w:type="dxa"/>
            <w:vAlign w:val="center"/>
          </w:tcPr>
          <w:p>
            <w:pPr>
              <w:spacing w:line="360" w:lineRule="auto"/>
              <w:rPr>
                <w:rFonts w:hint="default" w:ascii="新宋体" w:hAnsi="新宋体" w:eastAsia="新宋体"/>
                <w:bCs/>
                <w:szCs w:val="21"/>
                <w:lang w:val="en-US" w:eastAsia="zh-CN"/>
              </w:rPr>
            </w:pPr>
            <w:r>
              <w:rPr>
                <w:rFonts w:hint="eastAsia" w:ascii="新宋体" w:hAnsi="新宋体" w:eastAsia="新宋体"/>
                <w:bCs/>
                <w:szCs w:val="21"/>
                <w:lang w:val="en-US" w:eastAsia="zh-CN"/>
              </w:rPr>
              <w:t>从他所转过来的委托案的专利复审费用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2" w:type="dxa"/>
            <w:vMerge w:val="continue"/>
            <w:vAlign w:val="center"/>
          </w:tcPr>
          <w:p>
            <w:pPr>
              <w:pStyle w:val="21"/>
              <w:tabs>
                <w:tab w:val="center" w:pos="1227"/>
              </w:tabs>
              <w:adjustRightInd w:val="0"/>
              <w:spacing w:line="312" w:lineRule="atLeast"/>
              <w:ind w:firstLineChars="0"/>
              <w:jc w:val="center"/>
              <w:textAlignment w:val="baseline"/>
              <w:rPr>
                <w:rFonts w:ascii="宋体" w:hAnsi="宋体" w:cs="宋体"/>
                <w:sz w:val="18"/>
                <w:szCs w:val="18"/>
              </w:rPr>
            </w:pPr>
          </w:p>
        </w:tc>
        <w:tc>
          <w:tcPr>
            <w:tcW w:w="2552" w:type="dxa"/>
            <w:vMerge w:val="continue"/>
            <w:vAlign w:val="center"/>
          </w:tcPr>
          <w:p>
            <w:pPr>
              <w:spacing w:line="360" w:lineRule="auto"/>
              <w:jc w:val="center"/>
              <w:rPr>
                <w:rFonts w:hint="eastAsia" w:ascii="新宋体" w:hAnsi="新宋体" w:eastAsia="新宋体"/>
                <w:bCs/>
                <w:szCs w:val="21"/>
              </w:rPr>
            </w:pPr>
          </w:p>
        </w:tc>
        <w:tc>
          <w:tcPr>
            <w:tcW w:w="2260" w:type="dxa"/>
            <w:vMerge w:val="continue"/>
            <w:vAlign w:val="center"/>
          </w:tcPr>
          <w:p>
            <w:pPr>
              <w:spacing w:line="360" w:lineRule="auto"/>
              <w:jc w:val="center"/>
              <w:rPr>
                <w:rFonts w:hint="eastAsia" w:ascii="新宋体" w:hAnsi="新宋体" w:eastAsia="新宋体"/>
                <w:bCs/>
                <w:szCs w:val="21"/>
              </w:rPr>
            </w:pPr>
          </w:p>
        </w:tc>
        <w:tc>
          <w:tcPr>
            <w:tcW w:w="1271" w:type="dxa"/>
            <w:vAlign w:val="center"/>
          </w:tcPr>
          <w:p>
            <w:pPr>
              <w:spacing w:line="360" w:lineRule="auto"/>
              <w:jc w:val="center"/>
              <w:rPr>
                <w:rFonts w:hint="default" w:ascii="新宋体" w:hAnsi="新宋体" w:eastAsia="新宋体"/>
                <w:bCs/>
                <w:szCs w:val="21"/>
                <w:lang w:val="en-US" w:eastAsia="zh-CN"/>
              </w:rPr>
            </w:pPr>
            <w:r>
              <w:rPr>
                <w:rFonts w:hint="eastAsia" w:ascii="新宋体" w:hAnsi="新宋体" w:eastAsia="新宋体"/>
                <w:bCs/>
                <w:szCs w:val="21"/>
                <w:lang w:val="en-US" w:eastAsia="zh-CN"/>
              </w:rPr>
              <w:t>4000</w:t>
            </w:r>
          </w:p>
        </w:tc>
        <w:tc>
          <w:tcPr>
            <w:tcW w:w="2249" w:type="dxa"/>
            <w:vAlign w:val="center"/>
          </w:tcPr>
          <w:p>
            <w:pPr>
              <w:spacing w:line="360" w:lineRule="auto"/>
              <w:rPr>
                <w:rFonts w:hint="default" w:ascii="新宋体" w:hAnsi="新宋体" w:eastAsia="新宋体"/>
                <w:bCs/>
                <w:szCs w:val="21"/>
                <w:lang w:val="en-US" w:eastAsia="zh-CN"/>
              </w:rPr>
            </w:pPr>
            <w:r>
              <w:rPr>
                <w:rFonts w:hint="eastAsia" w:ascii="新宋体" w:hAnsi="新宋体" w:eastAsia="新宋体"/>
                <w:bCs/>
                <w:szCs w:val="21"/>
                <w:lang w:val="en-US" w:eastAsia="zh-CN"/>
              </w:rPr>
              <w:t>本所委托案的专利复审费用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2" w:type="dxa"/>
            <w:vAlign w:val="center"/>
          </w:tcPr>
          <w:p>
            <w:pPr>
              <w:pStyle w:val="21"/>
              <w:numPr>
                <w:ilvl w:val="0"/>
                <w:numId w:val="4"/>
              </w:numPr>
              <w:tabs>
                <w:tab w:val="center" w:pos="1227"/>
              </w:tabs>
              <w:adjustRightInd w:val="0"/>
              <w:spacing w:line="312" w:lineRule="atLeast"/>
              <w:ind w:firstLineChars="0"/>
              <w:jc w:val="center"/>
              <w:textAlignment w:val="baseline"/>
              <w:rPr>
                <w:rFonts w:ascii="宋体" w:hAnsi="宋体" w:cs="宋体"/>
                <w:sz w:val="18"/>
                <w:szCs w:val="18"/>
              </w:rPr>
            </w:pPr>
          </w:p>
        </w:tc>
        <w:tc>
          <w:tcPr>
            <w:tcW w:w="2552" w:type="dxa"/>
            <w:vAlign w:val="center"/>
          </w:tcPr>
          <w:p>
            <w:pPr>
              <w:spacing w:line="360" w:lineRule="auto"/>
              <w:jc w:val="center"/>
              <w:rPr>
                <w:rFonts w:hint="eastAsia" w:ascii="新宋体" w:hAnsi="新宋体" w:eastAsia="新宋体"/>
                <w:bCs/>
                <w:szCs w:val="21"/>
              </w:rPr>
            </w:pPr>
            <w:r>
              <w:rPr>
                <w:rFonts w:hint="eastAsia" w:ascii="新宋体" w:hAnsi="新宋体" w:eastAsia="新宋体"/>
                <w:bCs/>
                <w:szCs w:val="21"/>
              </w:rPr>
              <w:t>专利年费代缴</w:t>
            </w:r>
          </w:p>
        </w:tc>
        <w:tc>
          <w:tcPr>
            <w:tcW w:w="2260" w:type="dxa"/>
            <w:vAlign w:val="center"/>
          </w:tcPr>
          <w:p>
            <w:pPr>
              <w:spacing w:line="360" w:lineRule="auto"/>
              <w:jc w:val="center"/>
              <w:rPr>
                <w:rFonts w:hint="eastAsia"/>
              </w:rPr>
            </w:pPr>
            <w:r>
              <w:rPr>
                <w:rFonts w:hint="eastAsia"/>
              </w:rPr>
              <w:t>根据当年年费收取对应费用</w:t>
            </w:r>
          </w:p>
        </w:tc>
        <w:tc>
          <w:tcPr>
            <w:tcW w:w="1271" w:type="dxa"/>
            <w:vAlign w:val="center"/>
          </w:tcPr>
          <w:p>
            <w:pPr>
              <w:spacing w:line="360" w:lineRule="auto"/>
              <w:jc w:val="center"/>
              <w:rPr>
                <w:rFonts w:hint="eastAsia" w:ascii="新宋体" w:hAnsi="新宋体" w:eastAsia="新宋体"/>
                <w:bCs/>
                <w:szCs w:val="21"/>
              </w:rPr>
            </w:pPr>
            <w:r>
              <w:rPr>
                <w:rFonts w:hint="eastAsia" w:ascii="新宋体" w:hAnsi="新宋体" w:eastAsia="新宋体"/>
                <w:bCs/>
                <w:szCs w:val="21"/>
              </w:rPr>
              <w:t>100</w:t>
            </w:r>
          </w:p>
        </w:tc>
        <w:tc>
          <w:tcPr>
            <w:tcW w:w="2249" w:type="dxa"/>
            <w:vAlign w:val="center"/>
          </w:tcPr>
          <w:p>
            <w:pPr>
              <w:spacing w:line="360" w:lineRule="auto"/>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2" w:type="dxa"/>
            <w:vAlign w:val="center"/>
          </w:tcPr>
          <w:p>
            <w:pPr>
              <w:pStyle w:val="21"/>
              <w:numPr>
                <w:ilvl w:val="0"/>
                <w:numId w:val="4"/>
              </w:numPr>
              <w:tabs>
                <w:tab w:val="center" w:pos="1227"/>
              </w:tabs>
              <w:adjustRightInd w:val="0"/>
              <w:spacing w:line="312" w:lineRule="atLeast"/>
              <w:ind w:firstLineChars="0"/>
              <w:jc w:val="center"/>
              <w:textAlignment w:val="baseline"/>
              <w:rPr>
                <w:rFonts w:ascii="宋体" w:hAnsi="宋体" w:cs="宋体"/>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专利优先审查</w:t>
            </w:r>
          </w:p>
        </w:tc>
        <w:tc>
          <w:tcPr>
            <w:tcW w:w="3531" w:type="dxa"/>
            <w:gridSpan w:val="2"/>
            <w:vAlign w:val="center"/>
          </w:tcPr>
          <w:p>
            <w:pPr>
              <w:spacing w:line="360" w:lineRule="auto"/>
              <w:jc w:val="center"/>
              <w:rPr>
                <w:rFonts w:ascii="新宋体" w:hAnsi="新宋体" w:eastAsia="新宋体"/>
                <w:bCs/>
                <w:szCs w:val="21"/>
              </w:rPr>
            </w:pPr>
            <w:r>
              <w:rPr>
                <w:rFonts w:hint="eastAsia" w:ascii="新宋体" w:hAnsi="新宋体" w:eastAsia="新宋体"/>
                <w:bCs/>
                <w:szCs w:val="21"/>
              </w:rPr>
              <w:t>4000</w:t>
            </w:r>
          </w:p>
          <w:p>
            <w:pPr>
              <w:spacing w:line="360" w:lineRule="auto"/>
              <w:jc w:val="center"/>
              <w:rPr>
                <w:rFonts w:ascii="新宋体" w:hAnsi="新宋体" w:eastAsia="新宋体"/>
                <w:bCs/>
                <w:szCs w:val="21"/>
              </w:rPr>
            </w:pPr>
            <w:r>
              <w:rPr>
                <w:rFonts w:hint="eastAsia" w:ascii="新宋体" w:hAnsi="新宋体" w:eastAsia="新宋体"/>
                <w:bCs/>
                <w:szCs w:val="21"/>
              </w:rPr>
              <w:t>(</w:t>
            </w:r>
            <w:r>
              <w:rPr>
                <w:rFonts w:hint="eastAsia" w:ascii="宋体" w:hAnsi="宋体" w:cs="宋体"/>
                <w:sz w:val="18"/>
                <w:szCs w:val="18"/>
              </w:rPr>
              <w:t>自优先审查之日起，一年内需结案)</w:t>
            </w:r>
          </w:p>
        </w:tc>
        <w:tc>
          <w:tcPr>
            <w:tcW w:w="2249" w:type="dxa"/>
            <w:vAlign w:val="center"/>
          </w:tcPr>
          <w:p>
            <w:pPr>
              <w:spacing w:line="360" w:lineRule="auto"/>
              <w:rPr>
                <w:rFonts w:ascii="新宋体" w:hAnsi="新宋体" w:eastAsia="新宋体"/>
                <w:bCs/>
                <w:szCs w:val="21"/>
              </w:rPr>
            </w:pPr>
            <w:r>
              <w:rPr>
                <w:rFonts w:hint="eastAsia" w:ascii="新宋体" w:hAnsi="新宋体" w:eastAsia="新宋体"/>
                <w:bCs/>
                <w:szCs w:val="21"/>
              </w:rPr>
              <w:t>前期需要评估分析技术领域是否符合条件</w:t>
            </w:r>
          </w:p>
          <w:p>
            <w:pPr>
              <w:spacing w:line="360" w:lineRule="auto"/>
              <w:rPr>
                <w:rFonts w:ascii="新宋体" w:hAnsi="新宋体" w:eastAsia="新宋体"/>
                <w:bCs/>
                <w:szCs w:val="21"/>
              </w:rPr>
            </w:pPr>
            <w:r>
              <w:rPr>
                <w:rFonts w:hint="eastAsia" w:ascii="新宋体" w:hAnsi="新宋体" w:eastAsia="新宋体"/>
                <w:bCs/>
                <w:szCs w:val="21"/>
              </w:rPr>
              <w:t>（包含优先审查检索报告）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592" w:type="dxa"/>
            <w:vAlign w:val="center"/>
          </w:tcPr>
          <w:p>
            <w:pPr>
              <w:pStyle w:val="21"/>
              <w:numPr>
                <w:ilvl w:val="0"/>
                <w:numId w:val="4"/>
              </w:numPr>
              <w:tabs>
                <w:tab w:val="center" w:pos="1227"/>
              </w:tabs>
              <w:adjustRightInd w:val="0"/>
              <w:spacing w:line="312" w:lineRule="atLeast"/>
              <w:ind w:firstLineChars="0"/>
              <w:jc w:val="center"/>
              <w:textAlignment w:val="baseline"/>
              <w:rPr>
                <w:rFonts w:ascii="宋体" w:hAnsi="宋体" w:cs="宋体"/>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专利查新检索（国内申请）</w:t>
            </w:r>
          </w:p>
        </w:tc>
        <w:tc>
          <w:tcPr>
            <w:tcW w:w="3531" w:type="dxa"/>
            <w:gridSpan w:val="2"/>
            <w:vAlign w:val="center"/>
          </w:tcPr>
          <w:p>
            <w:pPr>
              <w:spacing w:line="360" w:lineRule="auto"/>
              <w:jc w:val="center"/>
              <w:rPr>
                <w:rFonts w:ascii="新宋体" w:hAnsi="新宋体" w:eastAsia="新宋体"/>
                <w:bCs/>
                <w:szCs w:val="21"/>
              </w:rPr>
            </w:pPr>
            <w:r>
              <w:rPr>
                <w:rFonts w:hint="eastAsia" w:ascii="新宋体" w:hAnsi="新宋体" w:eastAsia="新宋体"/>
                <w:bCs/>
                <w:szCs w:val="21"/>
              </w:rPr>
              <w:t>3000</w:t>
            </w:r>
          </w:p>
        </w:tc>
        <w:tc>
          <w:tcPr>
            <w:tcW w:w="2249" w:type="dxa"/>
            <w:vMerge w:val="restart"/>
            <w:vAlign w:val="center"/>
          </w:tcPr>
          <w:p>
            <w:pPr>
              <w:spacing w:line="360" w:lineRule="auto"/>
              <w:rPr>
                <w:rFonts w:ascii="新宋体" w:hAnsi="新宋体" w:eastAsia="新宋体"/>
                <w:bCs/>
                <w:szCs w:val="21"/>
              </w:rPr>
            </w:pPr>
            <w:r>
              <w:rPr>
                <w:rFonts w:hint="eastAsia" w:ascii="新宋体" w:hAnsi="新宋体" w:eastAsia="新宋体"/>
                <w:bCs/>
                <w:szCs w:val="21"/>
              </w:rPr>
              <w:t>查新检索主要目的为针对欲申请的专利技术进行专业检索以评判专利技术的可专利性及授权前景,提前规避风险提高专利质量。</w:t>
            </w:r>
          </w:p>
          <w:p>
            <w:pPr>
              <w:spacing w:line="360" w:lineRule="auto"/>
              <w:rPr>
                <w:rFonts w:ascii="新宋体" w:hAnsi="新宋体" w:eastAsia="新宋体"/>
                <w:bCs/>
                <w:szCs w:val="21"/>
              </w:rPr>
            </w:pPr>
            <w:r>
              <w:rPr>
                <w:rFonts w:hint="eastAsia" w:ascii="新宋体" w:hAnsi="新宋体" w:eastAsia="新宋体"/>
                <w:bCs/>
                <w:szCs w:val="21"/>
              </w:rPr>
              <w:t>交付周期10个工作日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92" w:type="dxa"/>
            <w:vAlign w:val="center"/>
          </w:tcPr>
          <w:p>
            <w:pPr>
              <w:pStyle w:val="21"/>
              <w:numPr>
                <w:ilvl w:val="0"/>
                <w:numId w:val="4"/>
              </w:numPr>
              <w:tabs>
                <w:tab w:val="center" w:pos="1227"/>
              </w:tabs>
              <w:adjustRightInd w:val="0"/>
              <w:spacing w:line="312" w:lineRule="atLeast"/>
              <w:ind w:firstLineChars="0"/>
              <w:jc w:val="center"/>
              <w:textAlignment w:val="baseline"/>
              <w:rPr>
                <w:rFonts w:ascii="宋体" w:hAnsi="宋体" w:cs="宋体"/>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专利查新检索（国际申请）</w:t>
            </w:r>
          </w:p>
        </w:tc>
        <w:tc>
          <w:tcPr>
            <w:tcW w:w="3531" w:type="dxa"/>
            <w:gridSpan w:val="2"/>
            <w:vAlign w:val="center"/>
          </w:tcPr>
          <w:p>
            <w:pPr>
              <w:spacing w:line="360" w:lineRule="auto"/>
              <w:jc w:val="center"/>
              <w:rPr>
                <w:rFonts w:ascii="新宋体" w:hAnsi="新宋体" w:eastAsia="新宋体"/>
                <w:bCs/>
                <w:szCs w:val="21"/>
              </w:rPr>
            </w:pPr>
            <w:r>
              <w:rPr>
                <w:rFonts w:hint="eastAsia" w:ascii="新宋体" w:hAnsi="新宋体" w:eastAsia="新宋体"/>
                <w:bCs/>
                <w:szCs w:val="21"/>
              </w:rPr>
              <w:t>5000</w:t>
            </w:r>
          </w:p>
        </w:tc>
        <w:tc>
          <w:tcPr>
            <w:tcW w:w="2249" w:type="dxa"/>
            <w:vMerge w:val="continue"/>
            <w:vAlign w:val="center"/>
          </w:tcPr>
          <w:p>
            <w:pPr>
              <w:adjustRightInd w:val="0"/>
              <w:spacing w:line="312" w:lineRule="atLeast"/>
              <w:textAlignment w:val="baseline"/>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r>
              <w:rPr>
                <w:rFonts w:hint="eastAsia" w:ascii="宋体" w:hAnsi="宋体" w:cs="宋体"/>
                <w:color w:val="000000"/>
                <w:sz w:val="18"/>
                <w:szCs w:val="18"/>
              </w:rPr>
              <w:t xml:space="preserve">       </w:t>
            </w: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PCT申请国际申请</w:t>
            </w:r>
          </w:p>
          <w:p>
            <w:pPr>
              <w:spacing w:line="360" w:lineRule="auto"/>
              <w:jc w:val="center"/>
              <w:rPr>
                <w:rFonts w:ascii="新宋体" w:hAnsi="新宋体" w:eastAsia="新宋体"/>
                <w:bCs/>
                <w:szCs w:val="21"/>
              </w:rPr>
            </w:pPr>
            <w:r>
              <w:rPr>
                <w:rFonts w:hint="eastAsia" w:ascii="新宋体" w:hAnsi="新宋体" w:eastAsia="新宋体"/>
                <w:bCs/>
                <w:szCs w:val="21"/>
              </w:rPr>
              <w:t>（国际阶段）</w:t>
            </w:r>
          </w:p>
        </w:tc>
        <w:tc>
          <w:tcPr>
            <w:tcW w:w="2260" w:type="dxa"/>
          </w:tcPr>
          <w:p>
            <w:pPr>
              <w:spacing w:line="360" w:lineRule="auto"/>
              <w:rPr>
                <w:rFonts w:ascii="新宋体" w:hAnsi="新宋体" w:eastAsia="新宋体"/>
                <w:bCs/>
                <w:szCs w:val="21"/>
              </w:rPr>
            </w:pPr>
            <w:r>
              <w:rPr>
                <w:rFonts w:hint="eastAsia" w:ascii="新宋体" w:hAnsi="新宋体" w:eastAsia="新宋体"/>
                <w:bCs/>
                <w:szCs w:val="21"/>
              </w:rPr>
              <w:t>传送费：CNY 500</w:t>
            </w:r>
          </w:p>
          <w:p>
            <w:pPr>
              <w:spacing w:line="360" w:lineRule="auto"/>
              <w:rPr>
                <w:rFonts w:ascii="新宋体" w:hAnsi="新宋体" w:eastAsia="新宋体"/>
                <w:bCs/>
                <w:szCs w:val="21"/>
              </w:rPr>
            </w:pPr>
            <w:r>
              <w:rPr>
                <w:rFonts w:hint="eastAsia" w:ascii="新宋体" w:hAnsi="新宋体" w:eastAsia="新宋体"/>
                <w:bCs/>
                <w:szCs w:val="21"/>
              </w:rPr>
              <w:t>检索费：CNY 2100</w:t>
            </w:r>
          </w:p>
          <w:p>
            <w:pPr>
              <w:spacing w:line="360" w:lineRule="auto"/>
              <w:rPr>
                <w:rFonts w:ascii="新宋体" w:hAnsi="新宋体" w:eastAsia="新宋体"/>
                <w:bCs/>
                <w:szCs w:val="21"/>
              </w:rPr>
            </w:pPr>
            <w:r>
              <w:rPr>
                <w:rFonts w:hint="eastAsia" w:ascii="新宋体" w:hAnsi="新宋体" w:eastAsia="新宋体"/>
                <w:bCs/>
                <w:szCs w:val="21"/>
              </w:rPr>
              <w:t>国际申请费: CHF1130</w:t>
            </w:r>
          </w:p>
          <w:p>
            <w:pPr>
              <w:spacing w:line="360" w:lineRule="auto"/>
              <w:rPr>
                <w:rFonts w:ascii="新宋体" w:hAnsi="新宋体" w:eastAsia="新宋体"/>
                <w:bCs/>
                <w:szCs w:val="21"/>
              </w:rPr>
            </w:pPr>
            <w:r>
              <w:rPr>
                <w:rFonts w:hint="eastAsia" w:ascii="新宋体" w:hAnsi="新宋体" w:eastAsia="新宋体"/>
                <w:bCs/>
                <w:szCs w:val="21"/>
              </w:rPr>
              <w:t>优先权费：CNY 150</w:t>
            </w:r>
          </w:p>
        </w:tc>
        <w:tc>
          <w:tcPr>
            <w:tcW w:w="1271" w:type="dxa"/>
          </w:tcPr>
          <w:p>
            <w:pPr>
              <w:spacing w:line="360" w:lineRule="auto"/>
              <w:jc w:val="center"/>
              <w:rPr>
                <w:rFonts w:ascii="新宋体" w:hAnsi="新宋体" w:eastAsia="新宋体"/>
                <w:bCs/>
                <w:szCs w:val="21"/>
              </w:rPr>
            </w:pPr>
            <w:r>
              <w:rPr>
                <w:rFonts w:ascii="新宋体" w:hAnsi="新宋体" w:eastAsia="新宋体"/>
                <w:bCs/>
                <w:szCs w:val="21"/>
              </w:rPr>
              <w:t>20</w:t>
            </w:r>
            <w:r>
              <w:rPr>
                <w:rFonts w:hint="eastAsia" w:ascii="新宋体" w:hAnsi="新宋体" w:eastAsia="新宋体"/>
                <w:bCs/>
                <w:szCs w:val="21"/>
              </w:rPr>
              <w:t>00-6000</w:t>
            </w:r>
          </w:p>
          <w:p>
            <w:pPr>
              <w:spacing w:line="360" w:lineRule="auto"/>
              <w:jc w:val="center"/>
              <w:rPr>
                <w:rFonts w:ascii="新宋体" w:hAnsi="新宋体" w:eastAsia="新宋体"/>
                <w:bCs/>
                <w:szCs w:val="21"/>
              </w:rPr>
            </w:pPr>
            <w:r>
              <w:rPr>
                <w:rFonts w:hint="eastAsia" w:ascii="新宋体" w:hAnsi="新宋体" w:eastAsia="新宋体"/>
                <w:bCs/>
                <w:szCs w:val="21"/>
              </w:rPr>
              <w:t>(根据修改量定价)</w:t>
            </w:r>
          </w:p>
        </w:tc>
        <w:tc>
          <w:tcPr>
            <w:tcW w:w="2249" w:type="dxa"/>
            <w:vAlign w:val="center"/>
          </w:tcPr>
          <w:p>
            <w:pPr>
              <w:adjustRightInd w:val="0"/>
              <w:spacing w:line="312" w:lineRule="atLeast"/>
              <w:jc w:val="center"/>
              <w:textAlignment w:val="baseline"/>
              <w:rPr>
                <w:rFonts w:ascii="新宋体" w:hAnsi="新宋体" w:eastAsia="新宋体"/>
                <w:bCs/>
                <w:szCs w:val="21"/>
              </w:rPr>
            </w:pPr>
            <w:r>
              <w:rPr>
                <w:rFonts w:hint="eastAsia" w:ascii="新宋体" w:hAnsi="新宋体" w:eastAsia="新宋体"/>
                <w:bCs/>
                <w:szCs w:val="21"/>
              </w:rPr>
              <w:t>进入国家阶段，</w:t>
            </w:r>
          </w:p>
          <w:p>
            <w:pPr>
              <w:adjustRightInd w:val="0"/>
              <w:spacing w:line="312" w:lineRule="atLeast"/>
              <w:jc w:val="center"/>
              <w:textAlignment w:val="baseline"/>
              <w:rPr>
                <w:rFonts w:ascii="宋体" w:hAnsi="宋体" w:cs="宋体"/>
                <w:color w:val="000000"/>
                <w:sz w:val="18"/>
                <w:szCs w:val="18"/>
              </w:rPr>
            </w:pPr>
            <w:r>
              <w:rPr>
                <w:rFonts w:hint="eastAsia" w:ascii="新宋体" w:hAnsi="新宋体" w:eastAsia="新宋体"/>
                <w:bCs/>
                <w:szCs w:val="21"/>
              </w:rPr>
              <w:t>视国家情况而定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翻译费</w:t>
            </w:r>
          </w:p>
        </w:tc>
        <w:tc>
          <w:tcPr>
            <w:tcW w:w="2260"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0</w:t>
            </w:r>
          </w:p>
        </w:tc>
        <w:tc>
          <w:tcPr>
            <w:tcW w:w="1271"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英日韩</w:t>
            </w:r>
            <w:r>
              <w:rPr>
                <w:rFonts w:hint="eastAsia" w:ascii="新宋体" w:hAnsi="新宋体" w:eastAsia="新宋体"/>
                <w:bCs/>
                <w:szCs w:val="21"/>
                <w:lang w:val="en-US" w:eastAsia="zh-CN"/>
              </w:rPr>
              <w:t>5</w:t>
            </w:r>
            <w:r>
              <w:rPr>
                <w:rFonts w:hint="eastAsia" w:ascii="新宋体" w:hAnsi="新宋体" w:eastAsia="新宋体"/>
                <w:bCs/>
                <w:szCs w:val="21"/>
              </w:rPr>
              <w:t>00/千字</w:t>
            </w:r>
          </w:p>
          <w:p>
            <w:pPr>
              <w:spacing w:line="360" w:lineRule="auto"/>
              <w:jc w:val="center"/>
              <w:rPr>
                <w:rFonts w:ascii="新宋体" w:hAnsi="新宋体" w:eastAsia="新宋体"/>
                <w:bCs/>
                <w:szCs w:val="21"/>
              </w:rPr>
            </w:pPr>
            <w:r>
              <w:rPr>
                <w:rFonts w:hint="eastAsia" w:ascii="新宋体" w:hAnsi="新宋体" w:eastAsia="新宋体"/>
                <w:bCs/>
                <w:szCs w:val="21"/>
              </w:rPr>
              <w:t>德国或其他小语种1200/千字</w:t>
            </w:r>
          </w:p>
        </w:tc>
        <w:tc>
          <w:tcPr>
            <w:tcW w:w="2249" w:type="dxa"/>
            <w:vAlign w:val="center"/>
          </w:tcPr>
          <w:p>
            <w:pPr>
              <w:adjustRightInd w:val="0"/>
              <w:spacing w:line="312" w:lineRule="atLeast"/>
              <w:jc w:val="center"/>
              <w:textAlignment w:val="baseline"/>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单国申请（国际专利）</w:t>
            </w:r>
          </w:p>
        </w:tc>
        <w:tc>
          <w:tcPr>
            <w:tcW w:w="3531" w:type="dxa"/>
            <w:gridSpan w:val="2"/>
          </w:tcPr>
          <w:p>
            <w:pPr>
              <w:spacing w:line="360" w:lineRule="auto"/>
              <w:jc w:val="center"/>
              <w:rPr>
                <w:rFonts w:ascii="新宋体" w:hAnsi="新宋体" w:eastAsia="新宋体"/>
                <w:bCs/>
                <w:szCs w:val="21"/>
              </w:rPr>
            </w:pPr>
            <w:r>
              <w:rPr>
                <w:rFonts w:hint="eastAsia" w:ascii="新宋体" w:hAnsi="新宋体" w:eastAsia="新宋体"/>
                <w:bCs/>
                <w:szCs w:val="21"/>
              </w:rPr>
              <w:t>根据具体进入国家而定</w:t>
            </w:r>
          </w:p>
        </w:tc>
        <w:tc>
          <w:tcPr>
            <w:tcW w:w="2249" w:type="dxa"/>
            <w:vAlign w:val="center"/>
          </w:tcPr>
          <w:p>
            <w:pPr>
              <w:adjustRightInd w:val="0"/>
              <w:spacing w:line="312" w:lineRule="atLeast"/>
              <w:jc w:val="center"/>
              <w:textAlignment w:val="baseline"/>
              <w:rPr>
                <w:rFonts w:ascii="宋体" w:hAnsi="宋体" w:cs="宋体"/>
                <w:color w:val="000000"/>
                <w:sz w:val="18"/>
                <w:szCs w:val="18"/>
              </w:rPr>
            </w:pPr>
            <w:r>
              <w:rPr>
                <w:rFonts w:hint="eastAsia" w:ascii="新宋体" w:hAnsi="新宋体" w:eastAsia="新宋体"/>
                <w:bCs/>
                <w:szCs w:val="21"/>
              </w:rPr>
              <w:t>视国家而定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知识产权贯标--企业知识产权管理规范</w:t>
            </w:r>
          </w:p>
        </w:tc>
        <w:tc>
          <w:tcPr>
            <w:tcW w:w="3531" w:type="dxa"/>
            <w:gridSpan w:val="2"/>
            <w:vAlign w:val="center"/>
          </w:tcPr>
          <w:p>
            <w:pPr>
              <w:spacing w:line="360" w:lineRule="auto"/>
              <w:jc w:val="center"/>
              <w:rPr>
                <w:rFonts w:ascii="新宋体" w:hAnsi="新宋体" w:eastAsia="新宋体"/>
                <w:bCs/>
                <w:szCs w:val="21"/>
              </w:rPr>
            </w:pPr>
            <w:r>
              <w:rPr>
                <w:rFonts w:hint="eastAsia" w:ascii="新宋体" w:hAnsi="新宋体" w:eastAsia="新宋体"/>
                <w:bCs/>
                <w:szCs w:val="21"/>
              </w:rPr>
              <w:t>5万</w:t>
            </w:r>
          </w:p>
        </w:tc>
        <w:tc>
          <w:tcPr>
            <w:tcW w:w="2249" w:type="dxa"/>
            <w:vAlign w:val="center"/>
          </w:tcPr>
          <w:p>
            <w:pPr>
              <w:adjustRightInd w:val="0"/>
              <w:spacing w:line="312" w:lineRule="atLeast"/>
              <w:jc w:val="center"/>
              <w:textAlignment w:val="baseline"/>
              <w:rPr>
                <w:rFonts w:ascii="新宋体" w:hAnsi="新宋体" w:eastAsia="新宋体"/>
                <w:bCs/>
                <w:color w:val="000000"/>
                <w:szCs w:val="21"/>
              </w:rPr>
            </w:pPr>
            <w:r>
              <w:rPr>
                <w:rFonts w:hint="eastAsia" w:ascii="新宋体" w:hAnsi="新宋体" w:eastAsia="新宋体"/>
                <w:bCs/>
                <w:szCs w:val="21"/>
              </w:rPr>
              <w:t>提供企业贯标认定咨询服务，不包含第三方认证费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jc w:val="center"/>
              <w:rPr>
                <w:rFonts w:ascii="新宋体" w:hAnsi="新宋体" w:eastAsia="新宋体"/>
                <w:bCs/>
                <w:szCs w:val="21"/>
              </w:rPr>
            </w:pPr>
            <w:r>
              <w:rPr>
                <w:rFonts w:hint="eastAsia" w:ascii="宋体" w:hAnsi="宋体"/>
                <w:szCs w:val="21"/>
              </w:rPr>
              <w:t>说明书附加费从第31页起每页</w:t>
            </w:r>
          </w:p>
        </w:tc>
        <w:tc>
          <w:tcPr>
            <w:tcW w:w="2260" w:type="dxa"/>
            <w:vAlign w:val="center"/>
          </w:tcPr>
          <w:p>
            <w:pPr>
              <w:jc w:val="center"/>
              <w:rPr>
                <w:rFonts w:ascii="新宋体" w:hAnsi="新宋体" w:eastAsia="新宋体"/>
                <w:bCs/>
                <w:szCs w:val="21"/>
              </w:rPr>
            </w:pPr>
            <w:r>
              <w:rPr>
                <w:rFonts w:hint="eastAsia" w:ascii="宋体" w:hAnsi="宋体"/>
                <w:szCs w:val="21"/>
              </w:rPr>
              <w:t>50</w:t>
            </w:r>
          </w:p>
        </w:tc>
        <w:tc>
          <w:tcPr>
            <w:tcW w:w="1271" w:type="dxa"/>
            <w:vAlign w:val="center"/>
          </w:tcPr>
          <w:p>
            <w:pPr>
              <w:jc w:val="center"/>
              <w:rPr>
                <w:rFonts w:ascii="新宋体" w:hAnsi="新宋体" w:eastAsia="新宋体"/>
                <w:bCs/>
                <w:szCs w:val="21"/>
              </w:rPr>
            </w:pPr>
            <w:r>
              <w:rPr>
                <w:rFonts w:hint="eastAsia" w:ascii="宋体" w:hAnsi="宋体"/>
                <w:szCs w:val="21"/>
              </w:rPr>
              <w:t>——</w:t>
            </w:r>
          </w:p>
        </w:tc>
        <w:tc>
          <w:tcPr>
            <w:tcW w:w="2249" w:type="dxa"/>
            <w:vAlign w:val="center"/>
          </w:tcPr>
          <w:p>
            <w:pPr>
              <w:adjustRightInd w:val="0"/>
              <w:spacing w:line="312" w:lineRule="atLeast"/>
              <w:jc w:val="center"/>
              <w:textAlignment w:val="baseline"/>
              <w:rPr>
                <w:rFonts w:ascii="新宋体" w:hAnsi="新宋体" w:eastAsia="新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jc w:val="center"/>
              <w:rPr>
                <w:rFonts w:ascii="新宋体" w:hAnsi="新宋体" w:eastAsia="新宋体"/>
                <w:bCs/>
                <w:szCs w:val="21"/>
              </w:rPr>
            </w:pPr>
            <w:r>
              <w:rPr>
                <w:rFonts w:hint="eastAsia" w:ascii="宋体" w:hAnsi="宋体"/>
                <w:szCs w:val="21"/>
              </w:rPr>
              <w:t>权利要求附加费从第11项起每项</w:t>
            </w:r>
          </w:p>
        </w:tc>
        <w:tc>
          <w:tcPr>
            <w:tcW w:w="2260" w:type="dxa"/>
            <w:vAlign w:val="center"/>
          </w:tcPr>
          <w:p>
            <w:pPr>
              <w:jc w:val="center"/>
              <w:rPr>
                <w:rFonts w:ascii="新宋体" w:hAnsi="新宋体" w:eastAsia="新宋体"/>
                <w:bCs/>
                <w:szCs w:val="21"/>
              </w:rPr>
            </w:pPr>
            <w:r>
              <w:rPr>
                <w:rFonts w:hint="eastAsia" w:ascii="宋体" w:hAnsi="宋体"/>
                <w:szCs w:val="21"/>
              </w:rPr>
              <w:t>150</w:t>
            </w:r>
          </w:p>
        </w:tc>
        <w:tc>
          <w:tcPr>
            <w:tcW w:w="1271" w:type="dxa"/>
            <w:vAlign w:val="center"/>
          </w:tcPr>
          <w:p>
            <w:pPr>
              <w:jc w:val="center"/>
              <w:rPr>
                <w:rFonts w:ascii="新宋体" w:hAnsi="新宋体" w:eastAsia="新宋体"/>
                <w:bCs/>
                <w:szCs w:val="21"/>
              </w:rPr>
            </w:pPr>
            <w:r>
              <w:rPr>
                <w:rFonts w:hint="eastAsia" w:ascii="宋体" w:hAnsi="宋体"/>
                <w:szCs w:val="21"/>
              </w:rPr>
              <w:t>——</w:t>
            </w:r>
          </w:p>
        </w:tc>
        <w:tc>
          <w:tcPr>
            <w:tcW w:w="2249" w:type="dxa"/>
            <w:vAlign w:val="center"/>
          </w:tcPr>
          <w:p>
            <w:pPr>
              <w:adjustRightInd w:val="0"/>
              <w:spacing w:line="312" w:lineRule="atLeast"/>
              <w:jc w:val="center"/>
              <w:textAlignment w:val="baseline"/>
              <w:rPr>
                <w:rFonts w:ascii="新宋体" w:hAnsi="新宋体" w:eastAsia="新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新宋体" w:hAnsi="新宋体" w:eastAsia="新宋体"/>
                <w:bCs/>
                <w:szCs w:val="21"/>
              </w:rPr>
            </w:pPr>
            <w:r>
              <w:fldChar w:fldCharType="begin"/>
            </w:r>
            <w:r>
              <w:instrText xml:space="preserve"> HYPERLINK "http://crm.chaofan.wang/?mod=customer&amp;func=documents&amp;action=intlbusiness&amp;opera=excelData&amp;search=%E6%97%A0%E6%95%88%E6%A3%80%E7%B4%A2&amp;search_btn=%E6%90%9C%E7%B4%A2" </w:instrText>
            </w:r>
            <w:r>
              <w:fldChar w:fldCharType="separate"/>
            </w:r>
            <w:r>
              <w:rPr>
                <w:rFonts w:hint="eastAsia" w:ascii="新宋体" w:hAnsi="新宋体" w:eastAsia="新宋体"/>
                <w:bCs/>
                <w:szCs w:val="21"/>
              </w:rPr>
              <w:t>竞争对手监控</w:t>
            </w:r>
            <w:r>
              <w:rPr>
                <w:rFonts w:hint="eastAsia" w:ascii="新宋体" w:hAnsi="新宋体" w:eastAsia="新宋体"/>
                <w:bCs/>
                <w:szCs w:val="21"/>
              </w:rPr>
              <w:fldChar w:fldCharType="end"/>
            </w:r>
          </w:p>
        </w:tc>
        <w:tc>
          <w:tcPr>
            <w:tcW w:w="3531" w:type="dxa"/>
            <w:gridSpan w:val="2"/>
          </w:tcPr>
          <w:p>
            <w:pPr>
              <w:spacing w:line="360" w:lineRule="auto"/>
              <w:jc w:val="center"/>
              <w:rPr>
                <w:rFonts w:ascii="新宋体" w:hAnsi="新宋体" w:eastAsia="新宋体"/>
                <w:bCs/>
                <w:szCs w:val="21"/>
              </w:rPr>
            </w:pPr>
          </w:p>
          <w:p>
            <w:pPr>
              <w:spacing w:line="360" w:lineRule="auto"/>
              <w:jc w:val="center"/>
              <w:rPr>
                <w:rFonts w:ascii="新宋体" w:hAnsi="新宋体" w:eastAsia="新宋体"/>
                <w:bCs/>
                <w:szCs w:val="21"/>
              </w:rPr>
            </w:pPr>
          </w:p>
          <w:p>
            <w:pPr>
              <w:spacing w:line="360" w:lineRule="auto"/>
              <w:jc w:val="center"/>
              <w:rPr>
                <w:rFonts w:ascii="新宋体" w:hAnsi="新宋体" w:eastAsia="新宋体"/>
                <w:bCs/>
                <w:szCs w:val="21"/>
              </w:rPr>
            </w:pPr>
            <w:r>
              <w:rPr>
                <w:rFonts w:hint="eastAsia" w:ascii="新宋体" w:hAnsi="新宋体" w:eastAsia="新宋体"/>
                <w:bCs/>
                <w:szCs w:val="21"/>
              </w:rPr>
              <w:t>1万-3万/年（文献量1000件以内）</w:t>
            </w:r>
          </w:p>
          <w:p>
            <w:pPr>
              <w:spacing w:line="360" w:lineRule="auto"/>
              <w:jc w:val="center"/>
              <w:rPr>
                <w:rFonts w:ascii="新宋体" w:hAnsi="新宋体" w:eastAsia="新宋体"/>
                <w:bCs/>
                <w:szCs w:val="21"/>
              </w:rPr>
            </w:pPr>
            <w:r>
              <w:rPr>
                <w:rFonts w:hint="eastAsia" w:ascii="新宋体" w:hAnsi="新宋体" w:eastAsia="新宋体"/>
                <w:bCs/>
                <w:szCs w:val="21"/>
              </w:rPr>
              <w:t>超过1000件视情况而定</w:t>
            </w:r>
          </w:p>
        </w:tc>
        <w:tc>
          <w:tcPr>
            <w:tcW w:w="2249" w:type="dxa"/>
            <w:vAlign w:val="center"/>
          </w:tcPr>
          <w:p>
            <w:pPr>
              <w:adjustRightInd w:val="0"/>
              <w:spacing w:line="312" w:lineRule="atLeast"/>
              <w:jc w:val="center"/>
              <w:textAlignment w:val="baseline"/>
              <w:rPr>
                <w:rFonts w:ascii="新宋体" w:hAnsi="新宋体" w:eastAsia="新宋体"/>
                <w:bCs/>
                <w:color w:val="000000"/>
                <w:szCs w:val="21"/>
              </w:rPr>
            </w:pPr>
            <w:r>
              <w:rPr>
                <w:rFonts w:hint="eastAsia" w:ascii="新宋体" w:hAnsi="新宋体" w:eastAsia="新宋体"/>
                <w:bCs/>
                <w:color w:val="000000"/>
                <w:szCs w:val="21"/>
              </w:rPr>
              <w:t>竞争对手专利监控，是针对客户重点关注的某一特定产品或关键技术领域的竞争对手，利用详实、完备的专利数据资源，长时间、周期性检索、筛选所需的专利文献信息，以此了解竞争对手技术发展状况以及研发动向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宋体" w:hAnsi="宋体"/>
                <w:color w:val="000000"/>
                <w:szCs w:val="21"/>
              </w:rPr>
            </w:pPr>
            <w:r>
              <w:rPr>
                <w:rFonts w:hint="eastAsia" w:ascii="宋体" w:hAnsi="宋体"/>
                <w:color w:val="000000"/>
                <w:szCs w:val="21"/>
              </w:rPr>
              <w:t>科技查新检索</w:t>
            </w:r>
          </w:p>
        </w:tc>
        <w:tc>
          <w:tcPr>
            <w:tcW w:w="3531" w:type="dxa"/>
            <w:gridSpan w:val="2"/>
            <w:vAlign w:val="center"/>
          </w:tcPr>
          <w:p>
            <w:pPr>
              <w:spacing w:line="360" w:lineRule="auto"/>
              <w:rPr>
                <w:rFonts w:ascii="新宋体" w:hAnsi="新宋体" w:eastAsia="新宋体"/>
                <w:bCs/>
                <w:szCs w:val="21"/>
              </w:rPr>
            </w:pPr>
            <w:r>
              <w:rPr>
                <w:rFonts w:hint="eastAsia" w:ascii="新宋体" w:hAnsi="新宋体" w:eastAsia="新宋体"/>
                <w:bCs/>
                <w:szCs w:val="21"/>
              </w:rPr>
              <w:t>国内0.15万（包含一个查新点），每增加一个查新点增加费用30%；</w:t>
            </w:r>
          </w:p>
          <w:p>
            <w:pPr>
              <w:spacing w:line="360" w:lineRule="auto"/>
              <w:rPr>
                <w:rFonts w:ascii="新宋体" w:hAnsi="新宋体" w:eastAsia="新宋体"/>
                <w:bCs/>
                <w:szCs w:val="21"/>
              </w:rPr>
            </w:pPr>
            <w:r>
              <w:rPr>
                <w:rFonts w:hint="eastAsia" w:ascii="新宋体" w:hAnsi="新宋体" w:eastAsia="新宋体"/>
                <w:bCs/>
                <w:szCs w:val="21"/>
              </w:rPr>
              <w:t>国外查新0.3万（包含一个查新点），每增加一个查新点增加费用30%</w:t>
            </w:r>
          </w:p>
        </w:tc>
        <w:tc>
          <w:tcPr>
            <w:tcW w:w="2249" w:type="dxa"/>
            <w:vAlign w:val="center"/>
          </w:tcPr>
          <w:p>
            <w:pPr>
              <w:adjustRightInd w:val="0"/>
              <w:spacing w:line="312" w:lineRule="atLeast"/>
              <w:jc w:val="center"/>
              <w:textAlignment w:val="baseline"/>
              <w:rPr>
                <w:rFonts w:ascii="新宋体" w:hAnsi="新宋体" w:eastAsia="新宋体"/>
                <w:bCs/>
                <w:color w:val="000000"/>
                <w:szCs w:val="21"/>
              </w:rPr>
            </w:pPr>
            <w:r>
              <w:rPr>
                <w:rFonts w:hint="eastAsia" w:ascii="新宋体" w:hAnsi="新宋体" w:eastAsia="新宋体"/>
                <w:bCs/>
                <w:color w:val="000000"/>
                <w:szCs w:val="21"/>
              </w:rPr>
              <w:t>科技部一级查新咨询单位</w:t>
            </w:r>
          </w:p>
          <w:p>
            <w:pPr>
              <w:adjustRightInd w:val="0"/>
              <w:spacing w:line="312" w:lineRule="atLeast"/>
              <w:jc w:val="center"/>
              <w:textAlignment w:val="baseline"/>
              <w:rPr>
                <w:rFonts w:ascii="新宋体" w:hAnsi="新宋体" w:eastAsia="新宋体"/>
                <w:bCs/>
                <w:color w:val="000000"/>
                <w:szCs w:val="21"/>
              </w:rPr>
            </w:pPr>
            <w:r>
              <w:rPr>
                <w:rFonts w:hint="eastAsia" w:ascii="新宋体" w:hAnsi="新宋体" w:eastAsia="新宋体"/>
                <w:bCs/>
                <w:szCs w:val="21"/>
              </w:rPr>
              <w:t>10个工作日。若需5个工作日出结果，收取0.2万/方案加急费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宋体" w:hAnsi="宋体"/>
                <w:color w:val="000000"/>
                <w:szCs w:val="21"/>
              </w:rPr>
            </w:pPr>
            <w:r>
              <w:rPr>
                <w:rFonts w:hint="eastAsia" w:ascii="宋体" w:hAnsi="宋体"/>
                <w:color w:val="000000"/>
                <w:szCs w:val="21"/>
              </w:rPr>
              <w:t>技术主题检索</w:t>
            </w:r>
          </w:p>
        </w:tc>
        <w:tc>
          <w:tcPr>
            <w:tcW w:w="3531" w:type="dxa"/>
            <w:gridSpan w:val="2"/>
            <w:vAlign w:val="center"/>
          </w:tcPr>
          <w:p>
            <w:pPr>
              <w:spacing w:line="360" w:lineRule="auto"/>
              <w:jc w:val="center"/>
              <w:rPr>
                <w:rStyle w:val="24"/>
                <w:rFonts w:asciiTheme="majorHAnsi" w:hAnsiTheme="majorHAnsi"/>
                <w:bCs/>
                <w:kern w:val="0"/>
                <w:sz w:val="15"/>
                <w:szCs w:val="15"/>
              </w:rPr>
            </w:pPr>
            <w:r>
              <w:rPr>
                <w:rFonts w:hint="eastAsia" w:ascii="新宋体" w:hAnsi="新宋体" w:eastAsia="新宋体"/>
                <w:bCs/>
                <w:szCs w:val="21"/>
              </w:rPr>
              <w:t>1万/主题+实际专利数量*5元/篇（全球英文专利文献检索）</w:t>
            </w:r>
          </w:p>
        </w:tc>
        <w:tc>
          <w:tcPr>
            <w:tcW w:w="2249" w:type="dxa"/>
            <w:vAlign w:val="center"/>
          </w:tcPr>
          <w:p>
            <w:pPr>
              <w:pStyle w:val="25"/>
              <w:widowControl/>
              <w:spacing w:line="240" w:lineRule="auto"/>
              <w:jc w:val="left"/>
              <w:rPr>
                <w:rFonts w:ascii="新宋体" w:hAnsi="新宋体" w:eastAsia="新宋体"/>
                <w:bCs/>
                <w:sz w:val="21"/>
                <w:szCs w:val="21"/>
              </w:rPr>
            </w:pPr>
            <w:r>
              <w:rPr>
                <w:rFonts w:hint="eastAsia" w:ascii="新宋体" w:hAnsi="新宋体" w:eastAsia="新宋体"/>
                <w:bCs/>
                <w:sz w:val="21"/>
                <w:szCs w:val="21"/>
              </w:rPr>
              <w:t>包含：技术发展现状调查和专利技术分解梳理、专利数据检索与分类、技术主题分析模块等</w:t>
            </w:r>
          </w:p>
          <w:p>
            <w:pPr>
              <w:spacing w:line="360" w:lineRule="auto"/>
              <w:jc w:val="left"/>
              <w:rPr>
                <w:rFonts w:ascii="新宋体" w:hAnsi="新宋体" w:eastAsia="新宋体"/>
                <w:bCs/>
                <w:szCs w:val="21"/>
              </w:rPr>
            </w:pPr>
            <w:r>
              <w:rPr>
                <w:rFonts w:hint="eastAsia" w:ascii="新宋体" w:hAnsi="新宋体" w:eastAsia="新宋体"/>
                <w:bCs/>
                <w:szCs w:val="21"/>
              </w:rPr>
              <w:t>技术主题分析业务为非标业务，需要同领域专家根据公司具体主题内容范围大小，主题检索目标等具体情况而确定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宋体" w:hAnsi="宋体"/>
                <w:color w:val="000000"/>
                <w:szCs w:val="21"/>
              </w:rPr>
            </w:pPr>
            <w:r>
              <w:rPr>
                <w:rFonts w:hint="eastAsia" w:ascii="宋体" w:hAnsi="宋体"/>
                <w:color w:val="000000"/>
                <w:szCs w:val="21"/>
              </w:rPr>
              <w:t>专利挖掘布局</w:t>
            </w:r>
          </w:p>
        </w:tc>
        <w:tc>
          <w:tcPr>
            <w:tcW w:w="3531" w:type="dxa"/>
            <w:gridSpan w:val="2"/>
            <w:vAlign w:val="center"/>
          </w:tcPr>
          <w:p>
            <w:pPr>
              <w:spacing w:line="360" w:lineRule="auto"/>
              <w:jc w:val="center"/>
              <w:rPr>
                <w:rFonts w:ascii="新宋体" w:hAnsi="新宋体" w:eastAsia="新宋体"/>
                <w:bCs/>
                <w:szCs w:val="21"/>
              </w:rPr>
            </w:pPr>
            <w:r>
              <w:rPr>
                <w:rFonts w:hint="eastAsia" w:ascii="新宋体" w:hAnsi="新宋体" w:eastAsia="新宋体"/>
                <w:bCs/>
                <w:szCs w:val="21"/>
              </w:rPr>
              <w:t>单件专利8000；</w:t>
            </w:r>
          </w:p>
          <w:p>
            <w:pPr>
              <w:spacing w:line="360" w:lineRule="auto"/>
              <w:jc w:val="center"/>
              <w:rPr>
                <w:rStyle w:val="24"/>
                <w:rFonts w:asciiTheme="majorHAnsi" w:hAnsiTheme="majorHAnsi"/>
                <w:bCs/>
                <w:kern w:val="0"/>
                <w:sz w:val="15"/>
                <w:szCs w:val="15"/>
              </w:rPr>
            </w:pPr>
            <w:r>
              <w:rPr>
                <w:rFonts w:hint="eastAsia" w:ascii="新宋体" w:hAnsi="新宋体" w:eastAsia="新宋体"/>
                <w:bCs/>
                <w:szCs w:val="21"/>
              </w:rPr>
              <w:t>专利挖掘布局整体解决方案6-10万+0.8万/件</w:t>
            </w:r>
          </w:p>
        </w:tc>
        <w:tc>
          <w:tcPr>
            <w:tcW w:w="2249" w:type="dxa"/>
            <w:vAlign w:val="center"/>
          </w:tcPr>
          <w:p>
            <w:pPr>
              <w:pStyle w:val="25"/>
              <w:widowControl/>
              <w:spacing w:line="240" w:lineRule="auto"/>
              <w:jc w:val="left"/>
              <w:rPr>
                <w:rFonts w:ascii="新宋体" w:hAnsi="新宋体" w:eastAsia="新宋体"/>
                <w:bCs/>
                <w:sz w:val="21"/>
                <w:szCs w:val="21"/>
              </w:rPr>
            </w:pPr>
            <w:r>
              <w:rPr>
                <w:rFonts w:hint="eastAsia" w:ascii="新宋体" w:hAnsi="新宋体" w:eastAsia="新宋体"/>
                <w:bCs/>
                <w:sz w:val="21"/>
                <w:szCs w:val="21"/>
              </w:rPr>
              <w:t>针对公司的技术方案，首先通过充分的现有技术检索，对新颖性和创造性进行判断；其次若新颖性和创造性相对较弱，则给出改进建议，直至根据现有检索结果情况，满足专利法规定的新颖性和创造性为止；最后结合该领域技术的专利保护策略情况，找到技术方案的发明点，给出专利撰写大纲，公司技术人员参照专利撰写大纲完善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宋体" w:hAnsi="宋体"/>
                <w:color w:val="000000"/>
                <w:szCs w:val="21"/>
              </w:rPr>
            </w:pPr>
            <w:r>
              <w:rPr>
                <w:rFonts w:hint="eastAsia" w:ascii="宋体" w:hAnsi="宋体"/>
                <w:color w:val="000000"/>
                <w:szCs w:val="21"/>
              </w:rPr>
              <w:t>FTO自由实施权</w:t>
            </w:r>
          </w:p>
        </w:tc>
        <w:tc>
          <w:tcPr>
            <w:tcW w:w="3531" w:type="dxa"/>
            <w:gridSpan w:val="2"/>
            <w:vAlign w:val="center"/>
          </w:tcPr>
          <w:p>
            <w:pPr>
              <w:spacing w:line="360" w:lineRule="auto"/>
              <w:jc w:val="center"/>
              <w:rPr>
                <w:rFonts w:ascii="新宋体" w:hAnsi="新宋体" w:eastAsia="新宋体"/>
                <w:bCs/>
                <w:szCs w:val="21"/>
              </w:rPr>
            </w:pPr>
            <w:r>
              <w:rPr>
                <w:rFonts w:hint="eastAsia" w:ascii="新宋体" w:hAnsi="新宋体" w:eastAsia="新宋体"/>
                <w:bCs/>
                <w:szCs w:val="21"/>
              </w:rPr>
              <w:t>竞争对手排查：2万起/每方案；</w:t>
            </w:r>
          </w:p>
          <w:p>
            <w:pPr>
              <w:spacing w:line="360" w:lineRule="auto"/>
              <w:jc w:val="center"/>
              <w:rPr>
                <w:rFonts w:ascii="新宋体" w:hAnsi="新宋体" w:eastAsia="新宋体"/>
                <w:bCs/>
                <w:szCs w:val="21"/>
              </w:rPr>
            </w:pPr>
            <w:r>
              <w:rPr>
                <w:rFonts w:hint="eastAsia" w:ascii="新宋体" w:hAnsi="新宋体" w:eastAsia="新宋体"/>
                <w:bCs/>
                <w:szCs w:val="21"/>
              </w:rPr>
              <w:t>中国：4-5万/方案；国际：5-6万/方案/每国家，每增加一个英语国家费用增加1万（英语国家（欧洲只包括EP，如需指定具体国家，需进一步确认））；6-7万/方案/每国家（小语种）</w:t>
            </w:r>
          </w:p>
        </w:tc>
        <w:tc>
          <w:tcPr>
            <w:tcW w:w="2249" w:type="dxa"/>
            <w:vAlign w:val="center"/>
          </w:tcPr>
          <w:p>
            <w:pPr>
              <w:adjustRightInd w:val="0"/>
              <w:spacing w:line="312" w:lineRule="atLeast"/>
              <w:jc w:val="center"/>
              <w:textAlignment w:val="baseline"/>
              <w:rPr>
                <w:rFonts w:ascii="新宋体" w:hAnsi="新宋体" w:eastAsia="新宋体"/>
                <w:bCs/>
                <w:szCs w:val="21"/>
              </w:rPr>
            </w:pPr>
            <w:r>
              <w:rPr>
                <w:rFonts w:hint="eastAsia" w:ascii="新宋体" w:hAnsi="新宋体" w:eastAsia="新宋体"/>
                <w:bCs/>
                <w:szCs w:val="21"/>
              </w:rPr>
              <w:t>侵权检索及分析（防侵权检索和应对预案）</w:t>
            </w:r>
          </w:p>
          <w:p>
            <w:pPr>
              <w:adjustRightInd w:val="0"/>
              <w:spacing w:line="312" w:lineRule="atLeast"/>
              <w:jc w:val="center"/>
              <w:textAlignment w:val="baseline"/>
              <w:rPr>
                <w:rFonts w:ascii="新宋体" w:hAnsi="新宋体" w:eastAsia="新宋体"/>
                <w:bCs/>
                <w:szCs w:val="21"/>
              </w:rPr>
            </w:pPr>
            <w:r>
              <w:rPr>
                <w:rFonts w:hint="eastAsia" w:ascii="新宋体" w:hAnsi="新宋体" w:eastAsia="新宋体"/>
                <w:bCs/>
                <w:szCs w:val="21"/>
              </w:rPr>
              <w:t>防侵权检索（第一阶段）：企业在欲执行特定商业活动时，协助企业找出那些有效的且可能在该活动的实施国家内给这一活动可能会造成障碍的专利或专利申请。应对预案（第二阶段/待定）：规避设计（技术）；无效、第三方公众意见（法律）；交叉许可或获得许可、购买、并购（商业）。</w:t>
            </w:r>
          </w:p>
          <w:p>
            <w:pPr>
              <w:adjustRightInd w:val="0"/>
              <w:spacing w:line="312" w:lineRule="atLeast"/>
              <w:jc w:val="center"/>
              <w:textAlignment w:val="baseline"/>
              <w:rPr>
                <w:rFonts w:ascii="新宋体" w:hAnsi="新宋体" w:eastAsia="新宋体"/>
                <w:bCs/>
                <w:szCs w:val="21"/>
              </w:rPr>
            </w:pPr>
            <w:r>
              <w:rPr>
                <w:rFonts w:hint="eastAsia" w:ascii="新宋体" w:hAnsi="新宋体" w:eastAsia="新宋体"/>
                <w:bCs/>
                <w:szCs w:val="21"/>
              </w:rPr>
              <w:t>（提供资料：产品说明书、附图、核心方案、核心技术详细说明）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侵权比对</w:t>
            </w:r>
          </w:p>
        </w:tc>
        <w:tc>
          <w:tcPr>
            <w:tcW w:w="3531" w:type="dxa"/>
            <w:gridSpan w:val="2"/>
            <w:vAlign w:val="center"/>
          </w:tcPr>
          <w:p>
            <w:pPr>
              <w:spacing w:line="360" w:lineRule="auto"/>
              <w:jc w:val="center"/>
              <w:rPr>
                <w:rFonts w:ascii="新宋体" w:hAnsi="新宋体" w:eastAsia="新宋体"/>
                <w:bCs/>
                <w:szCs w:val="21"/>
              </w:rPr>
            </w:pPr>
            <w:r>
              <w:rPr>
                <w:rFonts w:hint="eastAsia" w:ascii="新宋体" w:hAnsi="新宋体" w:eastAsia="新宋体"/>
                <w:bCs/>
                <w:szCs w:val="21"/>
              </w:rPr>
              <w:t>发明、实用新型：0.5万/专利/方案;</w:t>
            </w:r>
          </w:p>
          <w:p>
            <w:pPr>
              <w:spacing w:line="360" w:lineRule="auto"/>
              <w:jc w:val="center"/>
              <w:rPr>
                <w:rFonts w:ascii="新宋体" w:hAnsi="新宋体" w:eastAsia="新宋体"/>
                <w:bCs/>
                <w:szCs w:val="21"/>
              </w:rPr>
            </w:pPr>
            <w:r>
              <w:rPr>
                <w:rFonts w:hint="eastAsia" w:ascii="新宋体" w:hAnsi="新宋体" w:eastAsia="新宋体"/>
                <w:bCs/>
                <w:szCs w:val="21"/>
              </w:rPr>
              <w:t>外观：0.5万/专利/方案</w:t>
            </w:r>
          </w:p>
        </w:tc>
        <w:tc>
          <w:tcPr>
            <w:tcW w:w="2249" w:type="dxa"/>
            <w:vAlign w:val="center"/>
          </w:tcPr>
          <w:p>
            <w:pPr>
              <w:adjustRightInd w:val="0"/>
              <w:spacing w:line="312" w:lineRule="atLeast"/>
              <w:jc w:val="center"/>
              <w:textAlignment w:val="baseline"/>
              <w:rPr>
                <w:rFonts w:ascii="新宋体" w:hAnsi="新宋体" w:eastAsia="新宋体"/>
                <w:bCs/>
                <w:szCs w:val="21"/>
              </w:rPr>
            </w:pPr>
            <w:r>
              <w:rPr>
                <w:rFonts w:hint="eastAsia" w:ascii="新宋体" w:hAnsi="新宋体" w:eastAsia="新宋体"/>
                <w:bCs/>
                <w:szCs w:val="21"/>
              </w:rPr>
              <w:t>产品技术方案及涉案专利方案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无效检索/稳定性分析</w:t>
            </w:r>
          </w:p>
        </w:tc>
        <w:tc>
          <w:tcPr>
            <w:tcW w:w="3531" w:type="dxa"/>
            <w:gridSpan w:val="2"/>
            <w:vAlign w:val="center"/>
          </w:tcPr>
          <w:p>
            <w:pPr>
              <w:spacing w:line="360" w:lineRule="auto"/>
              <w:jc w:val="center"/>
              <w:rPr>
                <w:rFonts w:ascii="新宋体" w:hAnsi="新宋体" w:eastAsia="新宋体"/>
                <w:bCs/>
                <w:szCs w:val="21"/>
              </w:rPr>
            </w:pPr>
            <w:r>
              <w:rPr>
                <w:rFonts w:hint="eastAsia" w:ascii="新宋体" w:hAnsi="新宋体" w:eastAsia="新宋体"/>
                <w:bCs/>
                <w:szCs w:val="21"/>
              </w:rPr>
              <w:t>5万起</w:t>
            </w:r>
          </w:p>
        </w:tc>
        <w:tc>
          <w:tcPr>
            <w:tcW w:w="2249" w:type="dxa"/>
            <w:vAlign w:val="center"/>
          </w:tcPr>
          <w:p>
            <w:pPr>
              <w:adjustRightInd w:val="0"/>
              <w:spacing w:line="312" w:lineRule="atLeast"/>
              <w:jc w:val="center"/>
              <w:textAlignment w:val="baseline"/>
              <w:rPr>
                <w:rFonts w:ascii="新宋体" w:hAnsi="新宋体" w:eastAsia="新宋体"/>
                <w:bCs/>
                <w:szCs w:val="21"/>
              </w:rPr>
            </w:pPr>
            <w:r>
              <w:rPr>
                <w:rFonts w:hint="eastAsia" w:ascii="新宋体" w:hAnsi="新宋体" w:eastAsia="新宋体"/>
                <w:bCs/>
                <w:szCs w:val="21"/>
              </w:rPr>
              <w:t>根据案件的难易程度，权利要求的个数，以及证据的相关性和语种确定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专利预警（国内预警/国外预警）</w:t>
            </w:r>
          </w:p>
        </w:tc>
        <w:tc>
          <w:tcPr>
            <w:tcW w:w="3531" w:type="dxa"/>
            <w:gridSpan w:val="2"/>
            <w:vAlign w:val="center"/>
          </w:tcPr>
          <w:p>
            <w:pPr>
              <w:spacing w:line="360" w:lineRule="auto"/>
              <w:jc w:val="center"/>
              <w:rPr>
                <w:rFonts w:ascii="新宋体" w:hAnsi="新宋体" w:eastAsia="新宋体"/>
                <w:bCs/>
                <w:szCs w:val="21"/>
              </w:rPr>
            </w:pPr>
            <w:r>
              <w:rPr>
                <w:rFonts w:hint="eastAsia" w:ascii="新宋体" w:hAnsi="新宋体" w:eastAsia="新宋体"/>
                <w:bCs/>
                <w:szCs w:val="21"/>
              </w:rPr>
              <w:t>5万起</w:t>
            </w:r>
          </w:p>
        </w:tc>
        <w:tc>
          <w:tcPr>
            <w:tcW w:w="2249" w:type="dxa"/>
            <w:vAlign w:val="center"/>
          </w:tcPr>
          <w:p>
            <w:pPr>
              <w:adjustRightInd w:val="0"/>
              <w:spacing w:line="312" w:lineRule="atLeast"/>
              <w:jc w:val="center"/>
              <w:textAlignment w:val="baseline"/>
              <w:rPr>
                <w:rFonts w:ascii="新宋体" w:hAnsi="新宋体" w:eastAsia="新宋体"/>
                <w:bCs/>
                <w:szCs w:val="21"/>
              </w:rPr>
            </w:pPr>
            <w:r>
              <w:rPr>
                <w:rFonts w:hint="eastAsia" w:ascii="新宋体" w:hAnsi="新宋体" w:eastAsia="新宋体"/>
                <w:bCs/>
                <w:szCs w:val="21"/>
              </w:rPr>
              <w:t>根据具体需要而定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专利导航（产业宏观导航/企业微观导航）</w:t>
            </w:r>
          </w:p>
        </w:tc>
        <w:tc>
          <w:tcPr>
            <w:tcW w:w="3531" w:type="dxa"/>
            <w:gridSpan w:val="2"/>
            <w:vAlign w:val="center"/>
          </w:tcPr>
          <w:p>
            <w:pPr>
              <w:spacing w:line="360" w:lineRule="auto"/>
              <w:jc w:val="center"/>
              <w:rPr>
                <w:rFonts w:ascii="新宋体" w:hAnsi="新宋体" w:eastAsia="新宋体"/>
                <w:bCs/>
                <w:szCs w:val="21"/>
              </w:rPr>
            </w:pPr>
            <w:r>
              <w:rPr>
                <w:rFonts w:hint="eastAsia" w:ascii="新宋体" w:hAnsi="新宋体" w:eastAsia="新宋体"/>
                <w:bCs/>
                <w:szCs w:val="21"/>
              </w:rPr>
              <w:t>10万起</w:t>
            </w:r>
          </w:p>
          <w:p>
            <w:pPr>
              <w:spacing w:line="360" w:lineRule="auto"/>
              <w:jc w:val="center"/>
              <w:rPr>
                <w:rFonts w:ascii="新宋体" w:hAnsi="新宋体" w:eastAsia="新宋体"/>
                <w:bCs/>
                <w:szCs w:val="21"/>
              </w:rPr>
            </w:pPr>
            <w:r>
              <w:rPr>
                <w:rFonts w:hint="eastAsia" w:ascii="新宋体" w:hAnsi="新宋体" w:eastAsia="新宋体"/>
                <w:bCs/>
                <w:szCs w:val="21"/>
              </w:rPr>
              <w:t>根据具体情况沟通</w:t>
            </w:r>
          </w:p>
        </w:tc>
        <w:tc>
          <w:tcPr>
            <w:tcW w:w="2249" w:type="dxa"/>
            <w:vAlign w:val="center"/>
          </w:tcPr>
          <w:p>
            <w:pPr>
              <w:adjustRightInd w:val="0"/>
              <w:spacing w:line="312" w:lineRule="atLeast"/>
              <w:jc w:val="center"/>
              <w:textAlignment w:val="baseline"/>
              <w:rPr>
                <w:rFonts w:ascii="新宋体" w:hAnsi="新宋体" w:eastAsia="新宋体"/>
                <w:bCs/>
                <w:szCs w:val="21"/>
              </w:rPr>
            </w:pPr>
            <w:r>
              <w:rPr>
                <w:rFonts w:hint="eastAsia" w:ascii="新宋体" w:hAnsi="新宋体" w:eastAsia="新宋体"/>
                <w:bCs/>
                <w:szCs w:val="21"/>
              </w:rPr>
              <w:t>根据具体需要而定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知识产权分析评议</w:t>
            </w:r>
          </w:p>
        </w:tc>
        <w:tc>
          <w:tcPr>
            <w:tcW w:w="3531" w:type="dxa"/>
            <w:gridSpan w:val="2"/>
            <w:vAlign w:val="center"/>
          </w:tcPr>
          <w:p>
            <w:pPr>
              <w:spacing w:line="360" w:lineRule="auto"/>
              <w:jc w:val="center"/>
              <w:rPr>
                <w:rFonts w:ascii="新宋体" w:hAnsi="新宋体" w:eastAsia="新宋体"/>
                <w:bCs/>
                <w:szCs w:val="21"/>
              </w:rPr>
            </w:pPr>
            <w:r>
              <w:rPr>
                <w:rFonts w:hint="eastAsia" w:ascii="新宋体" w:hAnsi="新宋体" w:eastAsia="新宋体"/>
                <w:bCs/>
                <w:szCs w:val="21"/>
              </w:rPr>
              <w:t>15万起</w:t>
            </w:r>
          </w:p>
          <w:p>
            <w:pPr>
              <w:spacing w:line="360" w:lineRule="auto"/>
              <w:jc w:val="center"/>
              <w:rPr>
                <w:rFonts w:ascii="新宋体" w:hAnsi="新宋体" w:eastAsia="新宋体"/>
                <w:bCs/>
                <w:szCs w:val="21"/>
              </w:rPr>
            </w:pPr>
            <w:r>
              <w:rPr>
                <w:rFonts w:hint="eastAsia" w:ascii="新宋体" w:hAnsi="新宋体" w:eastAsia="新宋体"/>
                <w:bCs/>
                <w:szCs w:val="21"/>
              </w:rPr>
              <w:t>根据具体情况沟通</w:t>
            </w:r>
          </w:p>
        </w:tc>
        <w:tc>
          <w:tcPr>
            <w:tcW w:w="2249" w:type="dxa"/>
            <w:vAlign w:val="center"/>
          </w:tcPr>
          <w:p>
            <w:pPr>
              <w:adjustRightInd w:val="0"/>
              <w:spacing w:line="312" w:lineRule="atLeast"/>
              <w:jc w:val="center"/>
              <w:textAlignment w:val="baseline"/>
              <w:rPr>
                <w:rFonts w:ascii="新宋体" w:hAnsi="新宋体" w:eastAsia="新宋体"/>
                <w:bCs/>
                <w:szCs w:val="21"/>
              </w:rPr>
            </w:pPr>
            <w:r>
              <w:rPr>
                <w:rFonts w:hint="eastAsia" w:ascii="新宋体" w:hAnsi="新宋体" w:eastAsia="新宋体"/>
                <w:bCs/>
                <w:szCs w:val="21"/>
              </w:rPr>
              <w:t>根据具体需要而定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高价值专利培育体系</w:t>
            </w:r>
          </w:p>
        </w:tc>
        <w:tc>
          <w:tcPr>
            <w:tcW w:w="3531" w:type="dxa"/>
            <w:gridSpan w:val="2"/>
            <w:vAlign w:val="center"/>
          </w:tcPr>
          <w:p>
            <w:pPr>
              <w:spacing w:line="360" w:lineRule="auto"/>
              <w:jc w:val="center"/>
              <w:rPr>
                <w:rFonts w:ascii="新宋体" w:hAnsi="新宋体" w:eastAsia="新宋体"/>
                <w:bCs/>
                <w:szCs w:val="21"/>
              </w:rPr>
            </w:pPr>
            <w:r>
              <w:rPr>
                <w:rFonts w:hint="eastAsia" w:ascii="新宋体" w:hAnsi="新宋体" w:eastAsia="新宋体"/>
                <w:bCs/>
                <w:szCs w:val="21"/>
              </w:rPr>
              <w:t>30万起</w:t>
            </w:r>
          </w:p>
          <w:p>
            <w:pPr>
              <w:spacing w:line="360" w:lineRule="auto"/>
              <w:jc w:val="center"/>
              <w:rPr>
                <w:rFonts w:ascii="新宋体" w:hAnsi="新宋体" w:eastAsia="新宋体"/>
                <w:bCs/>
                <w:szCs w:val="21"/>
              </w:rPr>
            </w:pPr>
            <w:r>
              <w:rPr>
                <w:rFonts w:hint="eastAsia" w:ascii="新宋体" w:hAnsi="新宋体" w:eastAsia="新宋体"/>
                <w:bCs/>
                <w:szCs w:val="21"/>
              </w:rPr>
              <w:t>根据具体情况沟通</w:t>
            </w:r>
          </w:p>
        </w:tc>
        <w:tc>
          <w:tcPr>
            <w:tcW w:w="2249" w:type="dxa"/>
            <w:vAlign w:val="center"/>
          </w:tcPr>
          <w:p>
            <w:pPr>
              <w:adjustRightInd w:val="0"/>
              <w:spacing w:line="312" w:lineRule="atLeast"/>
              <w:jc w:val="center"/>
              <w:textAlignment w:val="baseline"/>
              <w:rPr>
                <w:rFonts w:ascii="新宋体" w:hAnsi="新宋体" w:eastAsia="新宋体"/>
                <w:bCs/>
                <w:szCs w:val="21"/>
              </w:rPr>
            </w:pPr>
            <w:r>
              <w:rPr>
                <w:rFonts w:hint="eastAsia" w:ascii="新宋体" w:hAnsi="新宋体" w:eastAsia="新宋体"/>
                <w:bCs/>
                <w:szCs w:val="21"/>
              </w:rPr>
              <w:t>根据具体需要而定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知识产权托管</w:t>
            </w:r>
          </w:p>
        </w:tc>
        <w:tc>
          <w:tcPr>
            <w:tcW w:w="3531" w:type="dxa"/>
            <w:gridSpan w:val="2"/>
            <w:vAlign w:val="center"/>
          </w:tcPr>
          <w:p>
            <w:pPr>
              <w:spacing w:line="360" w:lineRule="auto"/>
              <w:jc w:val="center"/>
              <w:rPr>
                <w:rFonts w:ascii="新宋体" w:hAnsi="新宋体" w:eastAsia="新宋体"/>
                <w:bCs/>
                <w:szCs w:val="21"/>
              </w:rPr>
            </w:pPr>
            <w:r>
              <w:rPr>
                <w:rFonts w:hint="eastAsia" w:ascii="新宋体" w:hAnsi="新宋体" w:eastAsia="新宋体"/>
                <w:bCs/>
                <w:szCs w:val="21"/>
              </w:rPr>
              <w:t>10-50万/年</w:t>
            </w:r>
          </w:p>
        </w:tc>
        <w:tc>
          <w:tcPr>
            <w:tcW w:w="2249" w:type="dxa"/>
            <w:vAlign w:val="center"/>
          </w:tcPr>
          <w:p>
            <w:pPr>
              <w:adjustRightInd w:val="0"/>
              <w:spacing w:line="312" w:lineRule="atLeast"/>
              <w:jc w:val="center"/>
              <w:textAlignment w:val="baseline"/>
              <w:rPr>
                <w:rFonts w:ascii="新宋体" w:hAnsi="新宋体" w:eastAsia="新宋体"/>
                <w:bCs/>
                <w:szCs w:val="21"/>
              </w:rPr>
            </w:pPr>
            <w:r>
              <w:rPr>
                <w:rFonts w:hint="eastAsia" w:ascii="新宋体" w:hAnsi="新宋体" w:eastAsia="新宋体"/>
                <w:bCs/>
                <w:szCs w:val="21"/>
              </w:rPr>
              <w:t>根据具体需要而定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知识产权培训服务</w:t>
            </w:r>
          </w:p>
        </w:tc>
        <w:tc>
          <w:tcPr>
            <w:tcW w:w="3531" w:type="dxa"/>
            <w:gridSpan w:val="2"/>
            <w:vAlign w:val="center"/>
          </w:tcPr>
          <w:p>
            <w:pPr>
              <w:spacing w:line="360" w:lineRule="auto"/>
              <w:jc w:val="center"/>
              <w:rPr>
                <w:rFonts w:ascii="新宋体" w:hAnsi="新宋体" w:eastAsia="新宋体"/>
                <w:bCs/>
                <w:szCs w:val="21"/>
              </w:rPr>
            </w:pPr>
            <w:r>
              <w:rPr>
                <w:rFonts w:hint="eastAsia" w:ascii="新宋体" w:hAnsi="新宋体" w:eastAsia="新宋体"/>
                <w:bCs/>
                <w:szCs w:val="21"/>
              </w:rPr>
              <w:t>免费培训：专利基础培训，如何准备交底书。</w:t>
            </w:r>
          </w:p>
          <w:p>
            <w:pPr>
              <w:spacing w:line="360" w:lineRule="auto"/>
              <w:jc w:val="center"/>
              <w:rPr>
                <w:rFonts w:ascii="新宋体" w:hAnsi="新宋体" w:eastAsia="新宋体"/>
                <w:bCs/>
                <w:szCs w:val="21"/>
              </w:rPr>
            </w:pPr>
            <w:r>
              <w:rPr>
                <w:rFonts w:hint="eastAsia" w:ascii="新宋体" w:hAnsi="新宋体" w:eastAsia="新宋体"/>
                <w:bCs/>
                <w:szCs w:val="21"/>
              </w:rPr>
              <w:t>付费培训（6000/半天）：定制培训，基础，咨询等都可以培训</w:t>
            </w:r>
          </w:p>
        </w:tc>
        <w:tc>
          <w:tcPr>
            <w:tcW w:w="2249" w:type="dxa"/>
            <w:vAlign w:val="center"/>
          </w:tcPr>
          <w:p>
            <w:pPr>
              <w:adjustRightInd w:val="0"/>
              <w:spacing w:line="312" w:lineRule="atLeast"/>
              <w:jc w:val="center"/>
              <w:textAlignment w:val="baseline"/>
              <w:rPr>
                <w:rFonts w:ascii="新宋体" w:hAnsi="新宋体" w:eastAsia="新宋体"/>
                <w:bCs/>
                <w:szCs w:val="21"/>
              </w:rPr>
            </w:pPr>
            <w:r>
              <w:rPr>
                <w:rFonts w:hint="eastAsia" w:ascii="新宋体" w:hAnsi="新宋体" w:eastAsia="新宋体"/>
                <w:bCs/>
                <w:szCs w:val="21"/>
              </w:rPr>
              <w:t>根据公司实际情况及具体要求需求定制化培训，并提供培训方案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专利数据库本地建设</w:t>
            </w:r>
          </w:p>
          <w:p>
            <w:pPr>
              <w:spacing w:line="360" w:lineRule="auto"/>
              <w:jc w:val="center"/>
              <w:rPr>
                <w:rFonts w:ascii="新宋体" w:hAnsi="新宋体" w:eastAsia="新宋体"/>
                <w:bCs/>
                <w:szCs w:val="21"/>
              </w:rPr>
            </w:pPr>
            <w:r>
              <w:rPr>
                <w:rFonts w:hint="eastAsia" w:ascii="新宋体" w:hAnsi="新宋体" w:eastAsia="新宋体"/>
                <w:bCs/>
                <w:szCs w:val="21"/>
              </w:rPr>
              <w:t>（远程安装）</w:t>
            </w:r>
          </w:p>
        </w:tc>
        <w:tc>
          <w:tcPr>
            <w:tcW w:w="3531" w:type="dxa"/>
            <w:gridSpan w:val="2"/>
            <w:vAlign w:val="center"/>
          </w:tcPr>
          <w:p>
            <w:pPr>
              <w:spacing w:line="360" w:lineRule="auto"/>
              <w:jc w:val="center"/>
              <w:rPr>
                <w:rFonts w:ascii="新宋体" w:hAnsi="新宋体" w:eastAsia="新宋体"/>
                <w:bCs/>
                <w:szCs w:val="21"/>
              </w:rPr>
            </w:pPr>
            <w:r>
              <w:rPr>
                <w:rFonts w:hint="eastAsia" w:ascii="新宋体" w:hAnsi="新宋体" w:eastAsia="新宋体"/>
                <w:bCs/>
                <w:szCs w:val="21"/>
              </w:rPr>
              <w:t>具体评估产生</w:t>
            </w:r>
          </w:p>
        </w:tc>
        <w:tc>
          <w:tcPr>
            <w:tcW w:w="2249" w:type="dxa"/>
            <w:vAlign w:val="center"/>
          </w:tcPr>
          <w:p>
            <w:pPr>
              <w:adjustRightInd w:val="0"/>
              <w:spacing w:line="312" w:lineRule="atLeast"/>
              <w:jc w:val="center"/>
              <w:textAlignment w:val="baseline"/>
              <w:rPr>
                <w:rFonts w:ascii="新宋体" w:hAnsi="新宋体" w:eastAsia="新宋体"/>
                <w:bCs/>
                <w:szCs w:val="21"/>
              </w:rPr>
            </w:pPr>
            <w:r>
              <w:rPr>
                <w:rFonts w:hint="eastAsia" w:ascii="新宋体" w:hAnsi="新宋体" w:eastAsia="新宋体"/>
                <w:bCs/>
                <w:szCs w:val="21"/>
              </w:rPr>
              <w:t>根据具体情况沟通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专利数据库本地建设</w:t>
            </w:r>
          </w:p>
          <w:p>
            <w:pPr>
              <w:spacing w:line="360" w:lineRule="auto"/>
              <w:jc w:val="center"/>
              <w:rPr>
                <w:rFonts w:ascii="新宋体" w:hAnsi="新宋体" w:eastAsia="新宋体"/>
                <w:bCs/>
                <w:szCs w:val="21"/>
              </w:rPr>
            </w:pPr>
            <w:r>
              <w:rPr>
                <w:rFonts w:hint="eastAsia" w:ascii="新宋体" w:hAnsi="新宋体" w:eastAsia="新宋体"/>
                <w:bCs/>
                <w:szCs w:val="21"/>
              </w:rPr>
              <w:t>（现场安装）</w:t>
            </w:r>
          </w:p>
        </w:tc>
        <w:tc>
          <w:tcPr>
            <w:tcW w:w="3531" w:type="dxa"/>
            <w:gridSpan w:val="2"/>
            <w:vAlign w:val="center"/>
          </w:tcPr>
          <w:p>
            <w:pPr>
              <w:spacing w:line="360" w:lineRule="auto"/>
              <w:jc w:val="center"/>
              <w:rPr>
                <w:rFonts w:ascii="新宋体" w:hAnsi="新宋体" w:eastAsia="新宋体"/>
                <w:bCs/>
                <w:szCs w:val="21"/>
              </w:rPr>
            </w:pPr>
            <w:r>
              <w:rPr>
                <w:rFonts w:hint="eastAsia" w:ascii="新宋体" w:hAnsi="新宋体" w:eastAsia="新宋体"/>
                <w:bCs/>
                <w:szCs w:val="21"/>
              </w:rPr>
              <w:t>具体评估产生</w:t>
            </w:r>
          </w:p>
        </w:tc>
        <w:tc>
          <w:tcPr>
            <w:tcW w:w="2249" w:type="dxa"/>
            <w:vAlign w:val="center"/>
          </w:tcPr>
          <w:p>
            <w:pPr>
              <w:adjustRightInd w:val="0"/>
              <w:spacing w:line="312" w:lineRule="atLeast"/>
              <w:jc w:val="center"/>
              <w:textAlignment w:val="baseline"/>
              <w:rPr>
                <w:rFonts w:ascii="新宋体" w:hAnsi="新宋体" w:eastAsia="新宋体"/>
                <w:bCs/>
                <w:szCs w:val="21"/>
              </w:rPr>
            </w:pPr>
            <w:r>
              <w:rPr>
                <w:rFonts w:hint="eastAsia" w:ascii="新宋体" w:hAnsi="新宋体" w:eastAsia="新宋体"/>
                <w:bCs/>
                <w:szCs w:val="21"/>
              </w:rPr>
              <w:t>根据具体情况沟通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专利数据库在线账户产品</w:t>
            </w:r>
          </w:p>
          <w:p>
            <w:pPr>
              <w:spacing w:line="360" w:lineRule="auto"/>
              <w:jc w:val="center"/>
              <w:rPr>
                <w:rFonts w:ascii="新宋体" w:hAnsi="新宋体" w:eastAsia="新宋体"/>
                <w:bCs/>
                <w:szCs w:val="21"/>
              </w:rPr>
            </w:pPr>
            <w:r>
              <w:rPr>
                <w:rFonts w:hint="eastAsia" w:ascii="新宋体" w:hAnsi="新宋体" w:eastAsia="新宋体"/>
                <w:bCs/>
                <w:szCs w:val="21"/>
              </w:rPr>
              <w:t>（万象云、Patentics等）</w:t>
            </w:r>
          </w:p>
        </w:tc>
        <w:tc>
          <w:tcPr>
            <w:tcW w:w="3531" w:type="dxa"/>
            <w:gridSpan w:val="2"/>
            <w:vAlign w:val="center"/>
          </w:tcPr>
          <w:p>
            <w:pPr>
              <w:spacing w:line="360" w:lineRule="auto"/>
              <w:jc w:val="center"/>
              <w:rPr>
                <w:rFonts w:ascii="新宋体" w:hAnsi="新宋体" w:eastAsia="新宋体"/>
                <w:bCs/>
                <w:szCs w:val="21"/>
              </w:rPr>
            </w:pPr>
            <w:r>
              <w:rPr>
                <w:rFonts w:hint="eastAsia" w:ascii="新宋体" w:hAnsi="新宋体" w:eastAsia="新宋体"/>
                <w:bCs/>
                <w:szCs w:val="21"/>
              </w:rPr>
              <w:t>9800/年（</w:t>
            </w:r>
            <w:bookmarkStart w:id="74" w:name="OLE_LINK1"/>
            <w:r>
              <w:rPr>
                <w:rFonts w:hint="eastAsia" w:ascii="新宋体" w:hAnsi="新宋体" w:eastAsia="新宋体"/>
                <w:bCs/>
                <w:szCs w:val="21"/>
              </w:rPr>
              <w:t>单品/单用户</w:t>
            </w:r>
            <w:bookmarkEnd w:id="74"/>
            <w:r>
              <w:rPr>
                <w:rFonts w:hint="eastAsia" w:ascii="新宋体" w:hAnsi="新宋体" w:eastAsia="新宋体"/>
                <w:bCs/>
                <w:szCs w:val="21"/>
              </w:rPr>
              <w:t>）</w:t>
            </w:r>
          </w:p>
          <w:p>
            <w:pPr>
              <w:spacing w:line="360" w:lineRule="auto"/>
              <w:jc w:val="center"/>
              <w:rPr>
                <w:rFonts w:ascii="新宋体" w:hAnsi="新宋体" w:eastAsia="新宋体"/>
                <w:bCs/>
                <w:szCs w:val="21"/>
              </w:rPr>
            </w:pPr>
            <w:r>
              <w:rPr>
                <w:rFonts w:hint="eastAsia" w:ascii="新宋体" w:hAnsi="新宋体" w:eastAsia="新宋体"/>
                <w:bCs/>
                <w:szCs w:val="21"/>
              </w:rPr>
              <w:t>根据子账户产生确定</w:t>
            </w:r>
          </w:p>
        </w:tc>
        <w:tc>
          <w:tcPr>
            <w:tcW w:w="2249" w:type="dxa"/>
            <w:vAlign w:val="center"/>
          </w:tcPr>
          <w:p>
            <w:pPr>
              <w:adjustRightInd w:val="0"/>
              <w:spacing w:line="312" w:lineRule="atLeast"/>
              <w:jc w:val="center"/>
              <w:textAlignment w:val="baseline"/>
              <w:rPr>
                <w:rFonts w:ascii="新宋体" w:hAnsi="新宋体" w:eastAsia="新宋体"/>
                <w:bCs/>
                <w:szCs w:val="21"/>
              </w:rPr>
            </w:pPr>
            <w:r>
              <w:rPr>
                <w:rFonts w:hint="eastAsia" w:ascii="新宋体" w:hAnsi="新宋体" w:eastAsia="新宋体"/>
                <w:bCs/>
                <w:szCs w:val="21"/>
              </w:rPr>
              <w:t>根据具体情况沟通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专利侵权诉讼法律服务</w:t>
            </w:r>
          </w:p>
        </w:tc>
        <w:tc>
          <w:tcPr>
            <w:tcW w:w="3531" w:type="dxa"/>
            <w:gridSpan w:val="2"/>
          </w:tcPr>
          <w:p>
            <w:pPr>
              <w:spacing w:line="360" w:lineRule="auto"/>
              <w:jc w:val="center"/>
              <w:rPr>
                <w:rFonts w:ascii="新宋体" w:hAnsi="新宋体" w:eastAsia="新宋体"/>
                <w:bCs/>
                <w:szCs w:val="21"/>
              </w:rPr>
            </w:pPr>
            <w:r>
              <w:rPr>
                <w:rFonts w:hint="eastAsia" w:ascii="新宋体" w:hAnsi="新宋体" w:eastAsia="新宋体"/>
                <w:bCs/>
                <w:szCs w:val="21"/>
              </w:rPr>
              <w:t>根据案件的难易程度，以及证据的相关性等方面确定，取决于案件</w:t>
            </w:r>
          </w:p>
        </w:tc>
        <w:tc>
          <w:tcPr>
            <w:tcW w:w="2249" w:type="dxa"/>
            <w:vAlign w:val="center"/>
          </w:tcPr>
          <w:p>
            <w:pPr>
              <w:adjustRightInd w:val="0"/>
              <w:spacing w:line="312" w:lineRule="atLeast"/>
              <w:jc w:val="center"/>
              <w:textAlignment w:val="baseline"/>
              <w:rPr>
                <w:rFonts w:ascii="新宋体" w:hAnsi="新宋体" w:eastAsia="新宋体"/>
                <w:bCs/>
                <w:szCs w:val="21"/>
              </w:rPr>
            </w:pPr>
            <w:r>
              <w:rPr>
                <w:rFonts w:hint="eastAsia" w:ascii="新宋体" w:hAnsi="新宋体" w:eastAsia="新宋体"/>
                <w:bCs/>
                <w:szCs w:val="21"/>
              </w:rPr>
              <w:t>根据具体情况沟通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92" w:type="dxa"/>
            <w:vAlign w:val="center"/>
          </w:tcPr>
          <w:p>
            <w:pPr>
              <w:pStyle w:val="21"/>
              <w:numPr>
                <w:ilvl w:val="0"/>
                <w:numId w:val="4"/>
              </w:numPr>
              <w:adjustRightInd w:val="0"/>
              <w:spacing w:line="312" w:lineRule="atLeast"/>
              <w:ind w:firstLineChars="0"/>
              <w:jc w:val="center"/>
              <w:textAlignment w:val="baseline"/>
              <w:rPr>
                <w:rFonts w:ascii="宋体" w:hAnsi="宋体" w:cs="宋体"/>
                <w:color w:val="000000"/>
                <w:sz w:val="18"/>
                <w:szCs w:val="18"/>
              </w:rPr>
            </w:pPr>
          </w:p>
        </w:tc>
        <w:tc>
          <w:tcPr>
            <w:tcW w:w="2552" w:type="dxa"/>
            <w:vAlign w:val="center"/>
          </w:tcPr>
          <w:p>
            <w:pPr>
              <w:spacing w:line="360" w:lineRule="auto"/>
              <w:jc w:val="center"/>
              <w:rPr>
                <w:rFonts w:ascii="新宋体" w:hAnsi="新宋体" w:eastAsia="新宋体"/>
                <w:bCs/>
                <w:szCs w:val="21"/>
              </w:rPr>
            </w:pPr>
            <w:r>
              <w:rPr>
                <w:rFonts w:hint="eastAsia" w:ascii="新宋体" w:hAnsi="新宋体" w:eastAsia="新宋体"/>
                <w:bCs/>
                <w:szCs w:val="21"/>
              </w:rPr>
              <w:t>非标准咨询检索业务</w:t>
            </w:r>
          </w:p>
        </w:tc>
        <w:tc>
          <w:tcPr>
            <w:tcW w:w="3531" w:type="dxa"/>
            <w:gridSpan w:val="2"/>
            <w:vAlign w:val="center"/>
          </w:tcPr>
          <w:p>
            <w:pPr>
              <w:adjustRightInd w:val="0"/>
              <w:spacing w:line="312" w:lineRule="atLeast"/>
              <w:textAlignment w:val="baseline"/>
              <w:rPr>
                <w:rFonts w:ascii="新宋体" w:hAnsi="新宋体" w:eastAsia="新宋体"/>
                <w:bCs/>
                <w:szCs w:val="21"/>
              </w:rPr>
            </w:pPr>
            <w:r>
              <w:rPr>
                <w:rFonts w:hint="eastAsia" w:ascii="新宋体" w:hAnsi="新宋体" w:eastAsia="新宋体"/>
                <w:bCs/>
                <w:szCs w:val="21"/>
              </w:rPr>
              <w:t>根据项目及企业情况要求沟通确定</w:t>
            </w:r>
          </w:p>
        </w:tc>
        <w:tc>
          <w:tcPr>
            <w:tcW w:w="2249" w:type="dxa"/>
            <w:vAlign w:val="center"/>
          </w:tcPr>
          <w:p>
            <w:pPr>
              <w:adjustRightInd w:val="0"/>
              <w:spacing w:line="312" w:lineRule="atLeast"/>
              <w:jc w:val="center"/>
              <w:textAlignment w:val="baseline"/>
              <w:rPr>
                <w:rFonts w:ascii="新宋体" w:hAnsi="新宋体" w:eastAsia="新宋体"/>
                <w:bCs/>
                <w:szCs w:val="21"/>
              </w:rPr>
            </w:pPr>
            <w:r>
              <w:rPr>
                <w:rFonts w:hint="eastAsia" w:ascii="新宋体" w:hAnsi="新宋体" w:eastAsia="新宋体"/>
                <w:bCs/>
                <w:szCs w:val="21"/>
              </w:rPr>
              <w:t>根据具体情况沟通</w:t>
            </w:r>
          </w:p>
        </w:tc>
      </w:tr>
    </w:tbl>
    <w:p>
      <w:pPr>
        <w:pStyle w:val="18"/>
        <w:numPr>
          <w:ilvl w:val="0"/>
          <w:numId w:val="0"/>
        </w:numPr>
        <w:snapToGrid w:val="0"/>
        <w:spacing w:line="560" w:lineRule="exact"/>
        <w:rPr>
          <w:kern w:val="0"/>
        </w:rPr>
      </w:pPr>
    </w:p>
    <w:p>
      <w:pPr>
        <w:spacing w:line="400" w:lineRule="exact"/>
        <w:jc w:val="left"/>
        <w:rPr>
          <w:rFonts w:ascii="宋体" w:hAnsi="宋体" w:cs="宋体"/>
          <w:szCs w:val="21"/>
        </w:rPr>
      </w:pPr>
      <w:r>
        <w:rPr>
          <w:rFonts w:hint="eastAsia" w:ascii="宋体" w:hAnsi="宋体" w:cs="宋体"/>
          <w:b/>
          <w:bCs/>
          <w:szCs w:val="21"/>
        </w:rPr>
        <w:t>附件2</w:t>
      </w:r>
      <w:r>
        <w:rPr>
          <w:rFonts w:hint="eastAsia" w:ascii="宋体" w:hAnsi="宋体" w:cs="宋体"/>
          <w:szCs w:val="21"/>
        </w:rPr>
        <w:t xml:space="preserve"> 专利代理服务费主要包括基本代理费和官费；代理过程中甲方申请撤案的，甲方支付的费用如下表：</w:t>
      </w:r>
    </w:p>
    <w:p>
      <w:pPr>
        <w:spacing w:line="400" w:lineRule="exact"/>
        <w:ind w:left="899" w:leftChars="228" w:hanging="420" w:hangingChars="200"/>
        <w:jc w:val="center"/>
        <w:rPr>
          <w:rFonts w:ascii="宋体" w:hAnsi="宋体" w:cs="宋体"/>
          <w:szCs w:val="21"/>
        </w:rPr>
      </w:pPr>
      <w:r>
        <w:rPr>
          <w:rFonts w:hint="eastAsia" w:ascii="宋体" w:hAnsi="宋体" w:cs="宋体"/>
          <w:szCs w:val="21"/>
        </w:rPr>
        <w:t>表2.甲方申请撤案所需支付的费用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8"/>
        <w:gridCol w:w="4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08" w:type="dxa"/>
          </w:tcPr>
          <w:p>
            <w:pPr>
              <w:spacing w:line="400" w:lineRule="exact"/>
              <w:rPr>
                <w:rFonts w:ascii="宋体" w:hAnsi="宋体" w:cs="宋体"/>
                <w:szCs w:val="21"/>
              </w:rPr>
            </w:pPr>
            <w:r>
              <w:rPr>
                <w:rFonts w:hint="eastAsia" w:ascii="宋体" w:hAnsi="宋体" w:cs="宋体"/>
                <w:szCs w:val="21"/>
              </w:rPr>
              <w:t>乙方对题述案的处理阶段</w:t>
            </w:r>
          </w:p>
        </w:tc>
        <w:tc>
          <w:tcPr>
            <w:tcW w:w="4047" w:type="dxa"/>
          </w:tcPr>
          <w:p>
            <w:pPr>
              <w:spacing w:line="400" w:lineRule="exact"/>
              <w:rPr>
                <w:rFonts w:ascii="宋体" w:hAnsi="宋体" w:cs="宋体"/>
                <w:szCs w:val="21"/>
              </w:rPr>
            </w:pPr>
            <w:r>
              <w:rPr>
                <w:rFonts w:hint="eastAsia" w:ascii="宋体" w:hAnsi="宋体" w:cs="宋体"/>
                <w:szCs w:val="21"/>
              </w:rPr>
              <w:t>甲方所需支付的费用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8" w:type="dxa"/>
          </w:tcPr>
          <w:p>
            <w:pPr>
              <w:spacing w:line="400" w:lineRule="exact"/>
              <w:rPr>
                <w:rFonts w:ascii="宋体" w:hAnsi="宋体" w:cs="宋体"/>
                <w:szCs w:val="21"/>
              </w:rPr>
            </w:pPr>
            <w:r>
              <w:rPr>
                <w:rFonts w:hint="eastAsia" w:ascii="宋体" w:hAnsi="宋体" w:cs="宋体"/>
                <w:szCs w:val="21"/>
              </w:rPr>
              <w:t>未启动专利撰写工作</w:t>
            </w:r>
          </w:p>
        </w:tc>
        <w:tc>
          <w:tcPr>
            <w:tcW w:w="4047" w:type="dxa"/>
          </w:tcPr>
          <w:p>
            <w:pPr>
              <w:spacing w:line="400" w:lineRule="exact"/>
              <w:rPr>
                <w:rFonts w:ascii="宋体" w:hAnsi="宋体" w:cs="宋体"/>
                <w:szCs w:val="21"/>
              </w:rPr>
            </w:pPr>
            <w:r>
              <w:rPr>
                <w:rFonts w:hint="eastAsia" w:ascii="宋体" w:hAnsi="宋体" w:cs="宋体"/>
                <w:szCs w:val="21"/>
              </w:rPr>
              <w:t>不支付基本代理费和官费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8" w:type="dxa"/>
          </w:tcPr>
          <w:p>
            <w:pPr>
              <w:spacing w:line="400" w:lineRule="exact"/>
              <w:rPr>
                <w:rFonts w:ascii="宋体" w:hAnsi="宋体" w:cs="宋体"/>
                <w:szCs w:val="21"/>
              </w:rPr>
            </w:pPr>
            <w:r>
              <w:rPr>
                <w:rFonts w:hint="eastAsia" w:ascii="宋体" w:hAnsi="宋体" w:cs="宋体"/>
                <w:szCs w:val="21"/>
              </w:rPr>
              <w:t>撰写完一半或者撰写完成未交局</w:t>
            </w:r>
          </w:p>
        </w:tc>
        <w:tc>
          <w:tcPr>
            <w:tcW w:w="4047" w:type="dxa"/>
          </w:tcPr>
          <w:p>
            <w:pPr>
              <w:spacing w:line="400" w:lineRule="exact"/>
              <w:rPr>
                <w:rFonts w:ascii="宋体" w:hAnsi="宋体" w:cs="宋体"/>
                <w:szCs w:val="21"/>
              </w:rPr>
            </w:pPr>
            <w:r>
              <w:rPr>
                <w:rFonts w:hint="eastAsia" w:ascii="宋体" w:hAnsi="宋体" w:cs="宋体"/>
                <w:szCs w:val="21"/>
              </w:rPr>
              <w:t>支付基本代理费的</w:t>
            </w:r>
            <w:r>
              <w:rPr>
                <w:rFonts w:ascii="宋体" w:hAnsi="宋体" w:cs="宋体"/>
                <w:szCs w:val="21"/>
              </w:rPr>
              <w:t>3</w:t>
            </w:r>
            <w:r>
              <w:rPr>
                <w:rFonts w:hint="eastAsia" w:ascii="宋体" w:hAnsi="宋体" w:cs="宋体"/>
                <w:szCs w:val="21"/>
              </w:rPr>
              <w:t>0%，无需支付官费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8" w:type="dxa"/>
          </w:tcPr>
          <w:p>
            <w:pPr>
              <w:spacing w:line="400" w:lineRule="exact"/>
              <w:rPr>
                <w:rFonts w:ascii="宋体" w:hAnsi="宋体" w:cs="宋体"/>
                <w:szCs w:val="21"/>
              </w:rPr>
            </w:pPr>
            <w:r>
              <w:rPr>
                <w:rFonts w:hint="eastAsia" w:ascii="宋体" w:hAnsi="宋体" w:cs="宋体"/>
                <w:szCs w:val="21"/>
              </w:rPr>
              <w:t>已经交局</w:t>
            </w:r>
          </w:p>
        </w:tc>
        <w:tc>
          <w:tcPr>
            <w:tcW w:w="4047" w:type="dxa"/>
          </w:tcPr>
          <w:p>
            <w:pPr>
              <w:spacing w:line="400" w:lineRule="exact"/>
              <w:rPr>
                <w:rFonts w:ascii="宋体" w:hAnsi="宋体" w:cs="宋体"/>
                <w:szCs w:val="21"/>
              </w:rPr>
            </w:pPr>
            <w:r>
              <w:rPr>
                <w:rFonts w:hint="eastAsia" w:ascii="宋体" w:hAnsi="宋体" w:cs="宋体"/>
                <w:szCs w:val="21"/>
              </w:rPr>
              <w:t>全额支付基本代理费和官费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8" w:type="dxa"/>
          </w:tcPr>
          <w:p>
            <w:pPr>
              <w:spacing w:line="400" w:lineRule="exact"/>
              <w:rPr>
                <w:rFonts w:ascii="宋体" w:hAnsi="宋体" w:cs="宋体"/>
                <w:szCs w:val="21"/>
              </w:rPr>
            </w:pPr>
            <w:r>
              <w:rPr>
                <w:rFonts w:hint="eastAsia" w:ascii="宋体" w:hAnsi="宋体" w:cs="宋体"/>
                <w:szCs w:val="21"/>
              </w:rPr>
              <w:t>办理撤回专利申请声明</w:t>
            </w:r>
          </w:p>
        </w:tc>
        <w:tc>
          <w:tcPr>
            <w:tcW w:w="4047" w:type="dxa"/>
          </w:tcPr>
          <w:p>
            <w:pPr>
              <w:spacing w:line="400" w:lineRule="exact"/>
              <w:rPr>
                <w:rFonts w:ascii="宋体" w:hAnsi="宋体" w:cs="宋体"/>
                <w:szCs w:val="21"/>
              </w:rPr>
            </w:pPr>
            <w:r>
              <w:rPr>
                <w:rFonts w:hint="eastAsia" w:ascii="宋体" w:hAnsi="宋体" w:cs="宋体"/>
                <w:szCs w:val="21"/>
              </w:rPr>
              <w:t>仅支付官费，无需支付任何代理费</w:t>
            </w:r>
          </w:p>
        </w:tc>
      </w:tr>
    </w:tbl>
    <w:p>
      <w:pPr>
        <w:pStyle w:val="18"/>
        <w:numPr>
          <w:ilvl w:val="0"/>
          <w:numId w:val="0"/>
        </w:numPr>
        <w:snapToGrid w:val="0"/>
        <w:spacing w:line="560" w:lineRule="exact"/>
        <w:rPr>
          <w:kern w:val="0"/>
        </w:rPr>
      </w:pPr>
    </w:p>
    <w:p>
      <w:pPr>
        <w:pStyle w:val="18"/>
        <w:numPr>
          <w:ilvl w:val="0"/>
          <w:numId w:val="0"/>
        </w:numPr>
        <w:snapToGrid w:val="0"/>
        <w:spacing w:line="560" w:lineRule="exact"/>
        <w:rPr>
          <w:kern w:val="0"/>
        </w:rPr>
      </w:pPr>
    </w:p>
    <w:p>
      <w:pPr>
        <w:widowControl/>
        <w:jc w:val="left"/>
        <w:rPr>
          <w:b/>
        </w:rPr>
      </w:pPr>
    </w:p>
    <w:p>
      <w:pPr>
        <w:rPr>
          <w:b/>
        </w:rPr>
      </w:pPr>
      <w:r>
        <w:rPr>
          <w:rFonts w:hint="eastAsia"/>
          <w:b/>
        </w:rPr>
        <w:t>附件3：确认单</w:t>
      </w:r>
    </w:p>
    <w:tbl>
      <w:tblPr>
        <w:tblStyle w:val="11"/>
        <w:tblpPr w:leftFromText="180" w:rightFromText="180" w:vertAnchor="text" w:horzAnchor="page" w:tblpX="1702" w:tblpY="333"/>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319"/>
        <w:gridCol w:w="1113"/>
        <w:gridCol w:w="994"/>
        <w:gridCol w:w="1575"/>
        <w:gridCol w:w="1136"/>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78" w:type="dxa"/>
            <w:gridSpan w:val="7"/>
            <w:vAlign w:val="center"/>
          </w:tcPr>
          <w:p>
            <w:pPr>
              <w:jc w:val="center"/>
              <w:rPr>
                <w:rFonts w:ascii="汉仪中隶书简" w:eastAsia="汉仪中隶书简"/>
                <w:b/>
                <w:sz w:val="30"/>
                <w:szCs w:val="30"/>
              </w:rPr>
            </w:pPr>
            <w:r>
              <w:rPr>
                <w:rFonts w:hint="eastAsia" w:ascii="汉仪中隶书简" w:eastAsia="汉仪中隶书简"/>
                <w:b/>
                <w:sz w:val="30"/>
                <w:szCs w:val="30"/>
              </w:rPr>
              <w:t>北京超凡宏宇专利代理事务所（特殊普通合伙）</w:t>
            </w:r>
          </w:p>
          <w:p>
            <w:pPr>
              <w:jc w:val="center"/>
              <w:rPr>
                <w:rFonts w:ascii="汉仪中隶书简" w:eastAsia="汉仪中隶书简"/>
                <w:b/>
                <w:sz w:val="30"/>
                <w:szCs w:val="30"/>
              </w:rPr>
            </w:pPr>
            <w:r>
              <w:rPr>
                <w:rFonts w:hint="eastAsia" w:ascii="汉仪中隶书简" w:eastAsia="汉仪中隶书简"/>
                <w:b/>
                <w:sz w:val="30"/>
                <w:szCs w:val="30"/>
              </w:rPr>
              <w:t>专利委托事项确认单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78" w:type="dxa"/>
            <w:gridSpan w:val="2"/>
            <w:vAlign w:val="center"/>
          </w:tcPr>
          <w:p>
            <w:pPr>
              <w:jc w:val="center"/>
              <w:rPr>
                <w:b/>
                <w:szCs w:val="21"/>
              </w:rPr>
            </w:pPr>
            <w:r>
              <w:rPr>
                <w:rFonts w:hint="eastAsia"/>
                <w:b/>
                <w:szCs w:val="21"/>
              </w:rPr>
              <w:t>经办人</w:t>
            </w:r>
          </w:p>
        </w:tc>
        <w:tc>
          <w:tcPr>
            <w:tcW w:w="1113" w:type="dxa"/>
            <w:vAlign w:val="center"/>
          </w:tcPr>
          <w:p>
            <w:pPr>
              <w:jc w:val="center"/>
              <w:rPr>
                <w:b/>
                <w:szCs w:val="21"/>
              </w:rPr>
            </w:pPr>
          </w:p>
        </w:tc>
        <w:tc>
          <w:tcPr>
            <w:tcW w:w="994" w:type="dxa"/>
            <w:vAlign w:val="center"/>
          </w:tcPr>
          <w:p>
            <w:pPr>
              <w:jc w:val="center"/>
              <w:rPr>
                <w:b/>
                <w:szCs w:val="21"/>
              </w:rPr>
            </w:pPr>
            <w:r>
              <w:rPr>
                <w:rFonts w:hint="eastAsia"/>
                <w:b/>
                <w:szCs w:val="21"/>
              </w:rPr>
              <w:t>部门</w:t>
            </w:r>
          </w:p>
        </w:tc>
        <w:tc>
          <w:tcPr>
            <w:tcW w:w="1575" w:type="dxa"/>
            <w:vAlign w:val="center"/>
          </w:tcPr>
          <w:p>
            <w:pPr>
              <w:jc w:val="center"/>
              <w:rPr>
                <w:b/>
                <w:szCs w:val="21"/>
              </w:rPr>
            </w:pPr>
          </w:p>
        </w:tc>
        <w:tc>
          <w:tcPr>
            <w:tcW w:w="1136" w:type="dxa"/>
            <w:vAlign w:val="center"/>
          </w:tcPr>
          <w:p>
            <w:pPr>
              <w:jc w:val="center"/>
              <w:rPr>
                <w:b/>
                <w:szCs w:val="21"/>
              </w:rPr>
            </w:pPr>
            <w:r>
              <w:rPr>
                <w:rFonts w:hint="eastAsia"/>
                <w:b/>
                <w:szCs w:val="21"/>
              </w:rPr>
              <w:t>签 字</w:t>
            </w:r>
          </w:p>
        </w:tc>
        <w:tc>
          <w:tcPr>
            <w:tcW w:w="2582" w:type="dxa"/>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59" w:type="dxa"/>
            <w:vMerge w:val="restart"/>
            <w:vAlign w:val="center"/>
          </w:tcPr>
          <w:p>
            <w:pPr>
              <w:jc w:val="center"/>
              <w:rPr>
                <w:b/>
                <w:szCs w:val="21"/>
              </w:rPr>
            </w:pPr>
            <w:r>
              <w:rPr>
                <w:rFonts w:hint="eastAsia"/>
                <w:b/>
                <w:szCs w:val="21"/>
              </w:rPr>
              <w:t>申请人</w:t>
            </w:r>
          </w:p>
        </w:tc>
        <w:tc>
          <w:tcPr>
            <w:tcW w:w="1319" w:type="dxa"/>
            <w:vAlign w:val="center"/>
          </w:tcPr>
          <w:p>
            <w:pPr>
              <w:jc w:val="center"/>
              <w:rPr>
                <w:b/>
                <w:szCs w:val="21"/>
              </w:rPr>
            </w:pPr>
            <w:r>
              <w:rPr>
                <w:rFonts w:hint="eastAsia"/>
                <w:b/>
                <w:szCs w:val="21"/>
              </w:rPr>
              <w:t>名称</w:t>
            </w:r>
          </w:p>
        </w:tc>
        <w:tc>
          <w:tcPr>
            <w:tcW w:w="7400" w:type="dxa"/>
            <w:gridSpan w:val="5"/>
            <w:vAlign w:val="center"/>
          </w:tcPr>
          <w:p>
            <w:pPr>
              <w:jc w:val="center"/>
              <w:rPr>
                <w:b/>
                <w:szCs w:val="21"/>
              </w:rPr>
            </w:pPr>
            <w:r>
              <w:rPr>
                <w:rFonts w:hint="eastAsia"/>
                <w:b/>
                <w:kern w:val="0"/>
              </w:rPr>
              <w:t>安路普（北京）汽车技术有限公司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59" w:type="dxa"/>
            <w:vMerge w:val="continue"/>
            <w:vAlign w:val="center"/>
          </w:tcPr>
          <w:p>
            <w:pPr>
              <w:jc w:val="center"/>
              <w:rPr>
                <w:b/>
                <w:szCs w:val="21"/>
              </w:rPr>
            </w:pPr>
          </w:p>
        </w:tc>
        <w:tc>
          <w:tcPr>
            <w:tcW w:w="1319" w:type="dxa"/>
            <w:vAlign w:val="center"/>
          </w:tcPr>
          <w:p>
            <w:pPr>
              <w:jc w:val="center"/>
              <w:rPr>
                <w:b/>
                <w:szCs w:val="21"/>
              </w:rPr>
            </w:pPr>
            <w:r>
              <w:rPr>
                <w:rFonts w:hint="eastAsia"/>
                <w:b/>
                <w:szCs w:val="21"/>
              </w:rPr>
              <w:t>地址/邮编</w:t>
            </w:r>
          </w:p>
        </w:tc>
        <w:tc>
          <w:tcPr>
            <w:tcW w:w="7400" w:type="dxa"/>
            <w:gridSpan w:val="5"/>
            <w:vAlign w:val="center"/>
          </w:tcPr>
          <w:p>
            <w:pPr>
              <w:jc w:val="center"/>
              <w:rPr>
                <w:b/>
                <w:szCs w:val="21"/>
              </w:rPr>
            </w:pPr>
            <w:r>
              <w:rPr>
                <w:rFonts w:hint="eastAsia" w:ascii="宋体" w:hAnsi="宋体"/>
                <w:b/>
                <w:kern w:val="0"/>
                <w:szCs w:val="21"/>
              </w:rPr>
              <w:t>北京市海淀区中关村南大街5号683号楼理工科技大厦1321室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trPr>
        <w:tc>
          <w:tcPr>
            <w:tcW w:w="459" w:type="dxa"/>
            <w:vAlign w:val="center"/>
          </w:tcPr>
          <w:p>
            <w:pPr>
              <w:jc w:val="center"/>
              <w:rPr>
                <w:b/>
                <w:sz w:val="24"/>
              </w:rPr>
            </w:pPr>
            <w:r>
              <w:rPr>
                <w:rFonts w:hint="eastAsia"/>
                <w:b/>
                <w:sz w:val="24"/>
              </w:rPr>
              <w:t>确</w:t>
            </w:r>
          </w:p>
          <w:p>
            <w:pPr>
              <w:jc w:val="center"/>
              <w:rPr>
                <w:b/>
                <w:sz w:val="24"/>
              </w:rPr>
            </w:pPr>
            <w:r>
              <w:rPr>
                <w:rFonts w:hint="eastAsia"/>
                <w:b/>
                <w:sz w:val="24"/>
              </w:rPr>
              <w:t>认</w:t>
            </w:r>
          </w:p>
          <w:p>
            <w:pPr>
              <w:jc w:val="center"/>
              <w:rPr>
                <w:b/>
                <w:sz w:val="24"/>
              </w:rPr>
            </w:pPr>
            <w:r>
              <w:rPr>
                <w:rFonts w:hint="eastAsia"/>
                <w:b/>
                <w:sz w:val="24"/>
              </w:rPr>
              <w:t>事</w:t>
            </w:r>
          </w:p>
          <w:p>
            <w:pPr>
              <w:jc w:val="center"/>
              <w:rPr>
                <w:b/>
                <w:sz w:val="24"/>
              </w:rPr>
            </w:pPr>
            <w:r>
              <w:rPr>
                <w:rFonts w:hint="eastAsia"/>
                <w:b/>
                <w:sz w:val="24"/>
              </w:rPr>
              <w:t>项</w:t>
            </w:r>
          </w:p>
        </w:tc>
        <w:tc>
          <w:tcPr>
            <w:tcW w:w="8719" w:type="dxa"/>
            <w:gridSpan w:val="6"/>
            <w:vAlign w:val="center"/>
          </w:tcPr>
          <w:p>
            <w:pPr>
              <w:rPr>
                <w:b/>
                <w:szCs w:val="21"/>
              </w:rPr>
            </w:pPr>
            <w:r>
              <w:rPr>
                <w:rFonts w:hint="eastAsia"/>
                <w:b/>
                <w:szCs w:val="21"/>
              </w:rPr>
              <w:t>国内</w:t>
            </w:r>
            <w:r>
              <w:rPr>
                <w:rFonts w:hint="eastAsia"/>
                <w:b/>
                <w:szCs w:val="21"/>
                <w:u w:val="single"/>
              </w:rPr>
              <w:t>(发明/实用新型/外观)</w:t>
            </w:r>
            <w:r>
              <w:rPr>
                <w:rFonts w:hint="eastAsia"/>
                <w:b/>
                <w:szCs w:val="21"/>
              </w:rPr>
              <w:t>专利委托事项：</w:t>
            </w:r>
          </w:p>
          <w:tbl>
            <w:tblPr>
              <w:tblStyle w:val="11"/>
              <w:tblW w:w="8425" w:type="dxa"/>
              <w:tblInd w:w="0" w:type="dxa"/>
              <w:tblLayout w:type="fixed"/>
              <w:tblCellMar>
                <w:top w:w="0" w:type="dxa"/>
                <w:left w:w="108" w:type="dxa"/>
                <w:bottom w:w="0" w:type="dxa"/>
                <w:right w:w="108" w:type="dxa"/>
              </w:tblCellMar>
            </w:tblPr>
            <w:tblGrid>
              <w:gridCol w:w="451"/>
              <w:gridCol w:w="2070"/>
              <w:gridCol w:w="2792"/>
              <w:gridCol w:w="1246"/>
              <w:gridCol w:w="1016"/>
              <w:gridCol w:w="850"/>
            </w:tblGrid>
            <w:tr>
              <w:tblPrEx>
                <w:tblCellMar>
                  <w:top w:w="0" w:type="dxa"/>
                  <w:left w:w="108" w:type="dxa"/>
                  <w:bottom w:w="0" w:type="dxa"/>
                  <w:right w:w="108" w:type="dxa"/>
                </w:tblCellMar>
              </w:tblPrEx>
              <w:trPr>
                <w:trHeight w:val="480" w:hRule="atLeast"/>
              </w:trPr>
              <w:tc>
                <w:tcPr>
                  <w:tcW w:w="451" w:type="dxa"/>
                  <w:tcBorders>
                    <w:top w:val="single" w:color="auto" w:sz="4" w:space="0"/>
                    <w:left w:val="single" w:color="auto" w:sz="4" w:space="0"/>
                    <w:bottom w:val="single" w:color="auto" w:sz="4" w:space="0"/>
                    <w:right w:val="single" w:color="auto" w:sz="4" w:space="0"/>
                  </w:tcBorders>
                  <w:shd w:val="clear" w:color="000000" w:fill="96969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2070" w:type="dxa"/>
                  <w:tcBorders>
                    <w:top w:val="single" w:color="auto" w:sz="4" w:space="0"/>
                    <w:left w:val="nil"/>
                    <w:bottom w:val="single" w:color="auto" w:sz="4" w:space="0"/>
                    <w:right w:val="single" w:color="auto" w:sz="4" w:space="0"/>
                  </w:tcBorders>
                  <w:shd w:val="clear" w:color="000000" w:fill="96969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名称</w:t>
                  </w:r>
                </w:p>
              </w:tc>
              <w:tc>
                <w:tcPr>
                  <w:tcW w:w="2792" w:type="dxa"/>
                  <w:tcBorders>
                    <w:top w:val="single" w:color="auto" w:sz="4" w:space="0"/>
                    <w:left w:val="nil"/>
                    <w:bottom w:val="single" w:color="auto" w:sz="4" w:space="0"/>
                    <w:right w:val="single" w:color="auto" w:sz="4" w:space="0"/>
                  </w:tcBorders>
                  <w:shd w:val="clear" w:color="000000" w:fill="96969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申请人</w:t>
                  </w:r>
                </w:p>
              </w:tc>
              <w:tc>
                <w:tcPr>
                  <w:tcW w:w="1246" w:type="dxa"/>
                  <w:tcBorders>
                    <w:top w:val="single" w:color="auto" w:sz="4" w:space="0"/>
                    <w:left w:val="nil"/>
                    <w:bottom w:val="single" w:color="auto" w:sz="4" w:space="0"/>
                    <w:right w:val="single" w:color="auto" w:sz="4" w:space="0"/>
                  </w:tcBorders>
                  <w:shd w:val="clear" w:color="000000" w:fill="96969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减缓后官费</w:t>
                  </w:r>
                </w:p>
              </w:tc>
              <w:tc>
                <w:tcPr>
                  <w:tcW w:w="1016" w:type="dxa"/>
                  <w:tcBorders>
                    <w:top w:val="single" w:color="auto" w:sz="4" w:space="0"/>
                    <w:left w:val="nil"/>
                    <w:bottom w:val="single" w:color="auto" w:sz="4" w:space="0"/>
                    <w:right w:val="single" w:color="auto" w:sz="4" w:space="0"/>
                  </w:tcBorders>
                  <w:shd w:val="clear" w:color="000000" w:fill="969696"/>
                  <w:vAlign w:val="center"/>
                </w:tcPr>
                <w:p>
                  <w:pPr>
                    <w:widowControl/>
                    <w:ind w:firstLine="197" w:firstLineChars="98"/>
                    <w:rPr>
                      <w:rFonts w:ascii="宋体" w:hAnsi="宋体" w:cs="宋体"/>
                      <w:b/>
                      <w:bCs/>
                      <w:kern w:val="0"/>
                      <w:sz w:val="20"/>
                      <w:szCs w:val="20"/>
                    </w:rPr>
                  </w:pPr>
                  <w:r>
                    <w:rPr>
                      <w:rFonts w:hint="eastAsia" w:ascii="宋体" w:hAnsi="宋体" w:cs="宋体"/>
                      <w:b/>
                      <w:bCs/>
                      <w:kern w:val="0"/>
                      <w:sz w:val="20"/>
                      <w:szCs w:val="20"/>
                    </w:rPr>
                    <w:t>代理费</w:t>
                  </w:r>
                </w:p>
              </w:tc>
              <w:tc>
                <w:tcPr>
                  <w:tcW w:w="850" w:type="dxa"/>
                  <w:tcBorders>
                    <w:top w:val="single" w:color="auto" w:sz="4" w:space="0"/>
                    <w:left w:val="nil"/>
                    <w:bottom w:val="single" w:color="auto" w:sz="4" w:space="0"/>
                    <w:right w:val="single" w:color="auto" w:sz="4" w:space="0"/>
                  </w:tcBorders>
                  <w:shd w:val="clear" w:color="000000" w:fill="96969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总和</w:t>
                  </w:r>
                </w:p>
              </w:tc>
            </w:tr>
            <w:tr>
              <w:tblPrEx>
                <w:tblCellMar>
                  <w:top w:w="0" w:type="dxa"/>
                  <w:left w:w="108" w:type="dxa"/>
                  <w:bottom w:w="0" w:type="dxa"/>
                  <w:right w:w="108" w:type="dxa"/>
                </w:tblCellMar>
              </w:tblPrEx>
              <w:trPr>
                <w:trHeight w:val="796" w:hRule="atLeast"/>
              </w:trPr>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4"/>
                    </w:rPr>
                  </w:pPr>
                  <w:r>
                    <w:rPr>
                      <w:rFonts w:hint="eastAsia"/>
                      <w:color w:val="000000"/>
                    </w:rPr>
                    <w:t>1</w:t>
                  </w:r>
                </w:p>
              </w:tc>
              <w:tc>
                <w:tcPr>
                  <w:tcW w:w="2070" w:type="dxa"/>
                  <w:tcBorders>
                    <w:top w:val="single" w:color="auto" w:sz="4" w:space="0"/>
                    <w:left w:val="nil"/>
                    <w:bottom w:val="single" w:color="auto" w:sz="4" w:space="0"/>
                    <w:right w:val="single" w:color="auto" w:sz="4" w:space="0"/>
                  </w:tcBorders>
                  <w:shd w:val="clear" w:color="000000" w:fill="FFFFFF"/>
                  <w:vAlign w:val="center"/>
                </w:tcPr>
                <w:p>
                  <w:pPr>
                    <w:jc w:val="center"/>
                    <w:rPr>
                      <w:b/>
                      <w:szCs w:val="21"/>
                    </w:rPr>
                  </w:pPr>
                </w:p>
              </w:tc>
              <w:tc>
                <w:tcPr>
                  <w:tcW w:w="2792" w:type="dxa"/>
                  <w:tcBorders>
                    <w:top w:val="single" w:color="auto" w:sz="4" w:space="0"/>
                    <w:left w:val="nil"/>
                    <w:bottom w:val="single" w:color="auto" w:sz="4" w:space="0"/>
                    <w:right w:val="single" w:color="auto" w:sz="4" w:space="0"/>
                  </w:tcBorders>
                  <w:shd w:val="clear" w:color="000000" w:fill="FFFFFF"/>
                  <w:vAlign w:val="center"/>
                </w:tcPr>
                <w:p>
                  <w:pPr>
                    <w:jc w:val="center"/>
                    <w:rPr>
                      <w:b/>
                      <w:szCs w:val="21"/>
                    </w:rPr>
                  </w:pPr>
                </w:p>
              </w:tc>
              <w:tc>
                <w:tcPr>
                  <w:tcW w:w="1246"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sz w:val="20"/>
                      <w:szCs w:val="20"/>
                    </w:rPr>
                  </w:pPr>
                </w:p>
              </w:tc>
              <w:tc>
                <w:tcPr>
                  <w:tcW w:w="1016" w:type="dxa"/>
                  <w:tcBorders>
                    <w:top w:val="single" w:color="auto" w:sz="4" w:space="0"/>
                    <w:left w:val="nil"/>
                    <w:bottom w:val="single" w:color="auto" w:sz="4" w:space="0"/>
                    <w:right w:val="single" w:color="auto" w:sz="4" w:space="0"/>
                  </w:tcBorders>
                  <w:shd w:val="clear" w:color="000000" w:fill="FFFFFF"/>
                  <w:vAlign w:val="center"/>
                </w:tcPr>
                <w:p>
                  <w:pPr>
                    <w:rPr>
                      <w:rFonts w:ascii="宋体" w:hAnsi="宋体" w:cs="宋体"/>
                      <w:color w:val="000000"/>
                      <w:sz w:val="20"/>
                      <w:szCs w:val="20"/>
                    </w:rPr>
                  </w:pPr>
                </w:p>
              </w:tc>
              <w:tc>
                <w:tcPr>
                  <w:tcW w:w="85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96" w:hRule="atLeast"/>
              </w:trPr>
              <w:tc>
                <w:tcPr>
                  <w:tcW w:w="45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000000"/>
                    </w:rPr>
                  </w:pPr>
                  <w:r>
                    <w:rPr>
                      <w:rFonts w:hint="eastAsia"/>
                      <w:color w:val="000000"/>
                    </w:rPr>
                    <w:t>2</w:t>
                  </w:r>
                </w:p>
              </w:tc>
              <w:tc>
                <w:tcPr>
                  <w:tcW w:w="2070" w:type="dxa"/>
                  <w:tcBorders>
                    <w:top w:val="single" w:color="auto" w:sz="4" w:space="0"/>
                    <w:left w:val="nil"/>
                    <w:bottom w:val="single" w:color="auto" w:sz="4" w:space="0"/>
                    <w:right w:val="single" w:color="auto" w:sz="4" w:space="0"/>
                  </w:tcBorders>
                  <w:shd w:val="clear" w:color="000000" w:fill="FFFFFF"/>
                  <w:vAlign w:val="center"/>
                </w:tcPr>
                <w:p>
                  <w:pPr>
                    <w:jc w:val="center"/>
                    <w:rPr>
                      <w:b/>
                      <w:szCs w:val="21"/>
                    </w:rPr>
                  </w:pPr>
                </w:p>
              </w:tc>
              <w:tc>
                <w:tcPr>
                  <w:tcW w:w="2792" w:type="dxa"/>
                  <w:tcBorders>
                    <w:top w:val="single" w:color="auto" w:sz="4" w:space="0"/>
                    <w:left w:val="nil"/>
                    <w:bottom w:val="single" w:color="auto" w:sz="4" w:space="0"/>
                    <w:right w:val="single" w:color="auto" w:sz="4" w:space="0"/>
                  </w:tcBorders>
                  <w:shd w:val="clear" w:color="000000" w:fill="FFFFFF"/>
                  <w:vAlign w:val="center"/>
                </w:tcPr>
                <w:p>
                  <w:pPr>
                    <w:jc w:val="center"/>
                    <w:rPr>
                      <w:b/>
                      <w:szCs w:val="21"/>
                    </w:rPr>
                  </w:pPr>
                </w:p>
              </w:tc>
              <w:tc>
                <w:tcPr>
                  <w:tcW w:w="1246" w:type="dxa"/>
                  <w:tcBorders>
                    <w:top w:val="single" w:color="auto" w:sz="4" w:space="0"/>
                    <w:left w:val="nil"/>
                    <w:bottom w:val="single" w:color="auto" w:sz="4" w:space="0"/>
                    <w:right w:val="single" w:color="auto" w:sz="4" w:space="0"/>
                  </w:tcBorders>
                  <w:shd w:val="clear" w:color="000000" w:fill="FFFFFF"/>
                  <w:vAlign w:val="center"/>
                </w:tcPr>
                <w:p>
                  <w:pPr>
                    <w:jc w:val="center"/>
                    <w:rPr>
                      <w:b/>
                      <w:szCs w:val="21"/>
                    </w:rPr>
                  </w:pPr>
                </w:p>
              </w:tc>
              <w:tc>
                <w:tcPr>
                  <w:tcW w:w="1016" w:type="dxa"/>
                  <w:tcBorders>
                    <w:top w:val="single" w:color="auto" w:sz="4" w:space="0"/>
                    <w:left w:val="nil"/>
                    <w:bottom w:val="single" w:color="auto" w:sz="4" w:space="0"/>
                    <w:right w:val="single" w:color="auto" w:sz="4" w:space="0"/>
                  </w:tcBorders>
                  <w:shd w:val="clear" w:color="000000" w:fill="FFFFFF"/>
                  <w:vAlign w:val="center"/>
                </w:tcPr>
                <w:p>
                  <w:pPr>
                    <w:jc w:val="center"/>
                    <w:rPr>
                      <w:b/>
                      <w:szCs w:val="21"/>
                    </w:rPr>
                  </w:pPr>
                </w:p>
              </w:tc>
              <w:tc>
                <w:tcPr>
                  <w:tcW w:w="850" w:type="dxa"/>
                  <w:tcBorders>
                    <w:top w:val="single" w:color="auto" w:sz="4" w:space="0"/>
                    <w:left w:val="nil"/>
                    <w:bottom w:val="single" w:color="auto" w:sz="4" w:space="0"/>
                    <w:right w:val="single" w:color="auto" w:sz="4" w:space="0"/>
                  </w:tcBorders>
                  <w:shd w:val="clear" w:color="000000" w:fill="FFFFFF"/>
                  <w:vAlign w:val="center"/>
                </w:tcPr>
                <w:p>
                  <w:pPr>
                    <w:jc w:val="center"/>
                    <w:rPr>
                      <w:b/>
                      <w:szCs w:val="21"/>
                    </w:rPr>
                  </w:pPr>
                </w:p>
              </w:tc>
            </w:tr>
            <w:tr>
              <w:tblPrEx>
                <w:tblCellMar>
                  <w:top w:w="0" w:type="dxa"/>
                  <w:left w:w="108" w:type="dxa"/>
                  <w:bottom w:w="0" w:type="dxa"/>
                  <w:right w:w="108" w:type="dxa"/>
                </w:tblCellMar>
              </w:tblPrEx>
              <w:trPr>
                <w:trHeight w:val="720" w:hRule="atLeast"/>
              </w:trPr>
              <w:tc>
                <w:tcPr>
                  <w:tcW w:w="252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pPr>
                  <w:r>
                    <w:rPr>
                      <w:rFonts w:hint="eastAsia"/>
                      <w:b/>
                      <w:szCs w:val="21"/>
                    </w:rPr>
                    <w:t>合计</w:t>
                  </w:r>
                </w:p>
              </w:tc>
              <w:tc>
                <w:tcPr>
                  <w:tcW w:w="2792" w:type="dxa"/>
                  <w:tcBorders>
                    <w:top w:val="single" w:color="auto" w:sz="4" w:space="0"/>
                    <w:left w:val="nil"/>
                    <w:bottom w:val="single" w:color="auto" w:sz="4" w:space="0"/>
                    <w:right w:val="single" w:color="auto" w:sz="4" w:space="0"/>
                  </w:tcBorders>
                  <w:shd w:val="clear" w:color="000000" w:fill="FFFFFF"/>
                  <w:vAlign w:val="center"/>
                </w:tcPr>
                <w:p>
                  <w:pPr>
                    <w:jc w:val="center"/>
                  </w:pPr>
                </w:p>
              </w:tc>
              <w:tc>
                <w:tcPr>
                  <w:tcW w:w="1246" w:type="dxa"/>
                  <w:tcBorders>
                    <w:top w:val="single" w:color="auto" w:sz="4" w:space="0"/>
                    <w:left w:val="nil"/>
                    <w:bottom w:val="single" w:color="auto" w:sz="4" w:space="0"/>
                    <w:right w:val="single" w:color="auto" w:sz="4" w:space="0"/>
                  </w:tcBorders>
                  <w:shd w:val="clear" w:color="000000" w:fill="FFFFFF"/>
                  <w:vAlign w:val="center"/>
                </w:tcPr>
                <w:p>
                  <w:pPr>
                    <w:jc w:val="center"/>
                    <w:rPr>
                      <w:b/>
                      <w:szCs w:val="21"/>
                    </w:rPr>
                  </w:pPr>
                </w:p>
              </w:tc>
              <w:tc>
                <w:tcPr>
                  <w:tcW w:w="1016" w:type="dxa"/>
                  <w:tcBorders>
                    <w:top w:val="single" w:color="auto" w:sz="4" w:space="0"/>
                    <w:left w:val="nil"/>
                    <w:bottom w:val="single" w:color="auto" w:sz="4" w:space="0"/>
                    <w:right w:val="single" w:color="auto" w:sz="4" w:space="0"/>
                  </w:tcBorders>
                  <w:shd w:val="clear" w:color="000000" w:fill="FFFFFF"/>
                  <w:vAlign w:val="center"/>
                </w:tcPr>
                <w:p>
                  <w:pPr>
                    <w:jc w:val="center"/>
                    <w:rPr>
                      <w:b/>
                      <w:szCs w:val="21"/>
                    </w:rPr>
                  </w:pPr>
                </w:p>
              </w:tc>
              <w:tc>
                <w:tcPr>
                  <w:tcW w:w="850" w:type="dxa"/>
                  <w:tcBorders>
                    <w:top w:val="single" w:color="auto" w:sz="4" w:space="0"/>
                    <w:left w:val="nil"/>
                    <w:bottom w:val="single" w:color="auto" w:sz="4" w:space="0"/>
                    <w:right w:val="single" w:color="auto" w:sz="4" w:space="0"/>
                  </w:tcBorders>
                  <w:shd w:val="clear" w:color="000000" w:fill="FFFFFF"/>
                  <w:vAlign w:val="center"/>
                </w:tcPr>
                <w:p>
                  <w:pPr>
                    <w:jc w:val="center"/>
                    <w:rPr>
                      <w:b/>
                      <w:szCs w:val="21"/>
                    </w:rPr>
                  </w:pPr>
                </w:p>
              </w:tc>
            </w:tr>
          </w:tbl>
          <w:p>
            <w:pPr>
              <w:rPr>
                <w:b/>
                <w:szCs w:val="21"/>
              </w:rPr>
            </w:pPr>
            <w:r>
              <w:rPr>
                <w:rFonts w:hint="eastAsia"/>
                <w:b/>
                <w:szCs w:val="21"/>
              </w:rPr>
              <w:t xml:space="preserve">                                        </w:t>
            </w:r>
          </w:p>
          <w:p>
            <w:pPr>
              <w:rPr>
                <w:b/>
                <w:szCs w:val="21"/>
              </w:rPr>
            </w:pPr>
            <w:r>
              <w:rPr>
                <w:rFonts w:hint="eastAsia"/>
                <w:b/>
                <w:szCs w:val="21"/>
              </w:rPr>
              <w:t xml:space="preserve">                                  合计金额大写：    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59" w:type="dxa"/>
            <w:vAlign w:val="center"/>
          </w:tcPr>
          <w:p>
            <w:pPr>
              <w:jc w:val="center"/>
              <w:rPr>
                <w:b/>
                <w:sz w:val="24"/>
              </w:rPr>
            </w:pPr>
            <w:r>
              <w:rPr>
                <w:rFonts w:hint="eastAsia"/>
                <w:b/>
                <w:sz w:val="24"/>
              </w:rPr>
              <w:t>处理</w:t>
            </w:r>
          </w:p>
          <w:p>
            <w:pPr>
              <w:jc w:val="center"/>
              <w:rPr>
                <w:b/>
                <w:sz w:val="24"/>
              </w:rPr>
            </w:pPr>
            <w:r>
              <w:rPr>
                <w:rFonts w:hint="eastAsia"/>
                <w:b/>
                <w:sz w:val="24"/>
              </w:rPr>
              <w:t>结果</w:t>
            </w:r>
          </w:p>
        </w:tc>
        <w:tc>
          <w:tcPr>
            <w:tcW w:w="8719" w:type="dxa"/>
            <w:gridSpan w:val="6"/>
            <w:vAlign w:val="center"/>
          </w:tcPr>
          <w:p>
            <w:pPr>
              <w:ind w:firstLine="103" w:firstLineChars="49"/>
              <w:rPr>
                <w:b/>
                <w:bCs/>
                <w:szCs w:val="21"/>
              </w:rPr>
            </w:pPr>
            <w:r>
              <w:rPr>
                <w:rFonts w:hint="eastAsia"/>
                <w:b/>
                <w:szCs w:val="21"/>
              </w:rPr>
              <w:t>同意委托</w:t>
            </w:r>
            <w:r>
              <w:rPr>
                <w:rFonts w:hint="eastAsia"/>
                <w:b/>
                <w:kern w:val="0"/>
              </w:rPr>
              <w:t>北京超凡宏宇专利代理事务所（特殊普通合伙）</w:t>
            </w:r>
            <w:r>
              <w:rPr>
                <w:rFonts w:hint="eastAsia"/>
                <w:b/>
                <w:szCs w:val="21"/>
              </w:rPr>
              <w:t>办理上述专利事务。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9" w:type="dxa"/>
            <w:vAlign w:val="center"/>
          </w:tcPr>
          <w:p>
            <w:pPr>
              <w:jc w:val="center"/>
              <w:rPr>
                <w:b/>
                <w:sz w:val="24"/>
              </w:rPr>
            </w:pPr>
            <w:r>
              <w:rPr>
                <w:rFonts w:hint="eastAsia"/>
                <w:b/>
                <w:sz w:val="24"/>
              </w:rPr>
              <w:t>备</w:t>
            </w:r>
          </w:p>
          <w:p>
            <w:pPr>
              <w:jc w:val="center"/>
              <w:rPr>
                <w:b/>
                <w:sz w:val="24"/>
              </w:rPr>
            </w:pPr>
            <w:r>
              <w:rPr>
                <w:rFonts w:hint="eastAsia"/>
                <w:b/>
                <w:sz w:val="24"/>
              </w:rPr>
              <w:t>注</w:t>
            </w:r>
          </w:p>
        </w:tc>
        <w:tc>
          <w:tcPr>
            <w:tcW w:w="8719" w:type="dxa"/>
            <w:gridSpan w:val="6"/>
            <w:vAlign w:val="center"/>
          </w:tcPr>
          <w:p>
            <w:pPr>
              <w:rPr>
                <w:b/>
                <w:szCs w:val="21"/>
              </w:rPr>
            </w:pPr>
            <w:r>
              <w:rPr>
                <w:rFonts w:hint="eastAsia"/>
                <w:b/>
                <w:szCs w:val="21"/>
              </w:rPr>
              <w:t>经办人或公司相关部门领导签字同样有效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59" w:type="dxa"/>
            <w:vAlign w:val="center"/>
          </w:tcPr>
          <w:p>
            <w:pPr>
              <w:rPr>
                <w:b/>
                <w:sz w:val="24"/>
              </w:rPr>
            </w:pPr>
            <w:r>
              <w:rPr>
                <w:rFonts w:hint="eastAsia"/>
                <w:b/>
                <w:sz w:val="24"/>
              </w:rPr>
              <w:t>签字</w:t>
            </w:r>
          </w:p>
          <w:p>
            <w:pPr>
              <w:rPr>
                <w:b/>
                <w:sz w:val="24"/>
              </w:rPr>
            </w:pPr>
            <w:r>
              <w:rPr>
                <w:rFonts w:hint="eastAsia"/>
                <w:b/>
                <w:sz w:val="24"/>
              </w:rPr>
              <w:t>盖章</w:t>
            </w:r>
          </w:p>
        </w:tc>
        <w:tc>
          <w:tcPr>
            <w:tcW w:w="8719" w:type="dxa"/>
            <w:gridSpan w:val="6"/>
          </w:tcPr>
          <w:p>
            <w:pPr>
              <w:rPr>
                <w:b/>
                <w:sz w:val="24"/>
              </w:rPr>
            </w:pPr>
          </w:p>
          <w:p>
            <w:pPr>
              <w:ind w:firstLine="4840" w:firstLineChars="2009"/>
              <w:rPr>
                <w:b/>
                <w:sz w:val="24"/>
              </w:rPr>
            </w:pPr>
          </w:p>
          <w:p>
            <w:pPr>
              <w:ind w:firstLine="4840" w:firstLineChars="2009"/>
              <w:rPr>
                <w:b/>
                <w:sz w:val="24"/>
              </w:rPr>
            </w:pPr>
          </w:p>
          <w:p>
            <w:pPr>
              <w:ind w:firstLine="4840" w:firstLineChars="2009"/>
              <w:rPr>
                <w:b/>
                <w:sz w:val="24"/>
              </w:rPr>
            </w:pPr>
            <w:r>
              <w:rPr>
                <w:rFonts w:hint="eastAsia"/>
                <w:b/>
                <w:sz w:val="24"/>
              </w:rPr>
              <w:t>日期：  年  月   日</w:t>
            </w:r>
          </w:p>
        </w:tc>
      </w:tr>
    </w:tbl>
    <w:p>
      <w:pPr>
        <w:rPr>
          <w:b/>
          <w:szCs w:val="21"/>
        </w:rPr>
      </w:pPr>
      <w:r>
        <w:rPr>
          <w:rFonts w:hint="eastAsia"/>
          <w:b/>
          <w:szCs w:val="21"/>
        </w:rPr>
        <w:t>为了您的专利事务准确无误顺利进行，敬请仔细核对；请签字盖章后返还原件，谢谢合作。</w:t>
      </w:r>
    </w:p>
    <w:p>
      <w:pPr>
        <w:pStyle w:val="4"/>
        <w:ind w:firstLine="0"/>
        <w:rPr>
          <w:rFonts w:ascii="新宋体" w:hAnsi="新宋体" w:eastAsia="新宋体"/>
          <w:sz w:val="21"/>
          <w:szCs w:val="21"/>
        </w:rPr>
      </w:pPr>
    </w:p>
    <w:p>
      <w:pPr>
        <w:pStyle w:val="18"/>
        <w:numPr>
          <w:ilvl w:val="0"/>
          <w:numId w:val="0"/>
        </w:numPr>
        <w:snapToGrid w:val="0"/>
        <w:spacing w:line="560" w:lineRule="exact"/>
        <w:rPr>
          <w:kern w:val="0"/>
        </w:rPr>
      </w:pPr>
    </w:p>
    <w:p>
      <w:pPr>
        <w:pStyle w:val="18"/>
        <w:numPr>
          <w:ilvl w:val="0"/>
          <w:numId w:val="0"/>
        </w:numPr>
        <w:snapToGrid w:val="0"/>
        <w:spacing w:line="560" w:lineRule="exact"/>
        <w:rPr>
          <w:kern w:val="0"/>
        </w:rPr>
      </w:pPr>
    </w:p>
    <w:sectPr>
      <w:pgSz w:w="11906" w:h="16838"/>
      <w:pgMar w:top="1134" w:right="1800" w:bottom="1134" w:left="1800" w:header="851" w:footer="992" w:gutter="0"/>
      <w:cols w:space="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icrosoft Office 用户" w:date="2019-12-20T10:26:00Z" w:initials="">
    <w:p w14:paraId="64472AD3">
      <w:pPr>
        <w:pStyle w:val="3"/>
        <w:rPr>
          <w:rFonts w:hint="eastAsia"/>
        </w:rPr>
      </w:pPr>
      <w:r>
        <w:rPr>
          <w:rFonts w:hint="eastAsia"/>
        </w:rPr>
        <w:t>可写在表格中</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4472AD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icrosoftYaHei">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 w:name="汉仪中隶书简">
    <w:altName w:val="宋体"/>
    <w:panose1 w:val="00000000000000000000"/>
    <w:charset w:val="86"/>
    <w:family w:val="modern"/>
    <w:pitch w:val="default"/>
    <w:sig w:usb0="00000000" w:usb1="00000000" w:usb2="0000001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3969"/>
    <w:multiLevelType w:val="multilevel"/>
    <w:tmpl w:val="0328396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C156AD"/>
    <w:multiLevelType w:val="singleLevel"/>
    <w:tmpl w:val="1BC156AD"/>
    <w:lvl w:ilvl="0" w:tentative="0">
      <w:start w:val="1"/>
      <w:numFmt w:val="decimal"/>
      <w:suff w:val="nothing"/>
      <w:lvlText w:val="%1、"/>
      <w:lvlJc w:val="left"/>
    </w:lvl>
  </w:abstractNum>
  <w:abstractNum w:abstractNumId="2">
    <w:nsid w:val="420C153B"/>
    <w:multiLevelType w:val="multilevel"/>
    <w:tmpl w:val="420C153B"/>
    <w:lvl w:ilvl="0" w:tentative="0">
      <w:start w:val="1"/>
      <w:numFmt w:val="decimal"/>
      <w:pStyle w:val="1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656D6133"/>
    <w:multiLevelType w:val="multilevel"/>
    <w:tmpl w:val="656D6133"/>
    <w:lvl w:ilvl="0" w:tentative="0">
      <w:start w:val="1"/>
      <w:numFmt w:val="chineseCountingThousand"/>
      <w:pStyle w:val="2"/>
      <w:suff w:val="nothing"/>
      <w:lvlText w:val="第%1部分"/>
      <w:lvlJc w:val="center"/>
      <w:pPr>
        <w:ind w:left="2831" w:firstLine="288"/>
      </w:pPr>
      <w:rPr>
        <w:rFonts w:hint="eastAsia"/>
        <w:sz w:val="28"/>
        <w:szCs w:val="28"/>
      </w:rPr>
    </w:lvl>
    <w:lvl w:ilvl="1" w:tentative="0">
      <w:start w:val="1"/>
      <w:numFmt w:val="chineseCountingThousand"/>
      <w:suff w:val="nothing"/>
      <w:lvlText w:val="%2、"/>
      <w:lvlJc w:val="left"/>
      <w:pPr>
        <w:ind w:left="720" w:firstLine="0"/>
      </w:pPr>
      <w:rPr>
        <w:rFonts w:hint="eastAsia" w:ascii="宋体" w:hAnsi="宋体" w:eastAsia="宋体"/>
        <w:sz w:val="24"/>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Office 用户">
    <w15:presenceInfo w15:providerId="None" w15:userId="Microsoft Office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0F4"/>
    <w:rsid w:val="000169C1"/>
    <w:rsid w:val="00051F71"/>
    <w:rsid w:val="000523F2"/>
    <w:rsid w:val="00075810"/>
    <w:rsid w:val="00096227"/>
    <w:rsid w:val="000A34E3"/>
    <w:rsid w:val="000F43FB"/>
    <w:rsid w:val="00105F32"/>
    <w:rsid w:val="00122BFA"/>
    <w:rsid w:val="001234BC"/>
    <w:rsid w:val="00133DC4"/>
    <w:rsid w:val="00141E84"/>
    <w:rsid w:val="00143388"/>
    <w:rsid w:val="0015267C"/>
    <w:rsid w:val="00153F1C"/>
    <w:rsid w:val="00182712"/>
    <w:rsid w:val="0018707C"/>
    <w:rsid w:val="001C128E"/>
    <w:rsid w:val="001E43B8"/>
    <w:rsid w:val="001E7E60"/>
    <w:rsid w:val="00201ABE"/>
    <w:rsid w:val="00203E19"/>
    <w:rsid w:val="0020771C"/>
    <w:rsid w:val="00220852"/>
    <w:rsid w:val="002339FE"/>
    <w:rsid w:val="0023790C"/>
    <w:rsid w:val="00241308"/>
    <w:rsid w:val="00274B7F"/>
    <w:rsid w:val="002B404C"/>
    <w:rsid w:val="002E0DB8"/>
    <w:rsid w:val="002E2CD8"/>
    <w:rsid w:val="002F7277"/>
    <w:rsid w:val="0032501E"/>
    <w:rsid w:val="00325760"/>
    <w:rsid w:val="00351C74"/>
    <w:rsid w:val="00353C89"/>
    <w:rsid w:val="0036541B"/>
    <w:rsid w:val="00386ADF"/>
    <w:rsid w:val="003D59BE"/>
    <w:rsid w:val="00405790"/>
    <w:rsid w:val="0041577A"/>
    <w:rsid w:val="00424F67"/>
    <w:rsid w:val="00431982"/>
    <w:rsid w:val="00442D39"/>
    <w:rsid w:val="0045484F"/>
    <w:rsid w:val="004573ED"/>
    <w:rsid w:val="00463DCC"/>
    <w:rsid w:val="00493135"/>
    <w:rsid w:val="005120B9"/>
    <w:rsid w:val="00535D3E"/>
    <w:rsid w:val="005372F6"/>
    <w:rsid w:val="00547EAD"/>
    <w:rsid w:val="005527CE"/>
    <w:rsid w:val="00596814"/>
    <w:rsid w:val="005B2D9F"/>
    <w:rsid w:val="005C3CC3"/>
    <w:rsid w:val="005D138B"/>
    <w:rsid w:val="005D2B37"/>
    <w:rsid w:val="00627EC7"/>
    <w:rsid w:val="00634060"/>
    <w:rsid w:val="006715A7"/>
    <w:rsid w:val="006948E3"/>
    <w:rsid w:val="006A1127"/>
    <w:rsid w:val="006A62C3"/>
    <w:rsid w:val="006D2F10"/>
    <w:rsid w:val="006D4EA0"/>
    <w:rsid w:val="00710FEA"/>
    <w:rsid w:val="00714012"/>
    <w:rsid w:val="00726F52"/>
    <w:rsid w:val="00735DC2"/>
    <w:rsid w:val="00740D18"/>
    <w:rsid w:val="007638C0"/>
    <w:rsid w:val="00774A1D"/>
    <w:rsid w:val="007A654E"/>
    <w:rsid w:val="007C524F"/>
    <w:rsid w:val="007C67A6"/>
    <w:rsid w:val="007D11DF"/>
    <w:rsid w:val="007D222F"/>
    <w:rsid w:val="00802C9B"/>
    <w:rsid w:val="00823A5D"/>
    <w:rsid w:val="00847AF9"/>
    <w:rsid w:val="008636AF"/>
    <w:rsid w:val="008665FF"/>
    <w:rsid w:val="00891726"/>
    <w:rsid w:val="008B3562"/>
    <w:rsid w:val="008C1333"/>
    <w:rsid w:val="008E07B5"/>
    <w:rsid w:val="008E65A7"/>
    <w:rsid w:val="00916BA5"/>
    <w:rsid w:val="009338D5"/>
    <w:rsid w:val="00941B2E"/>
    <w:rsid w:val="00965C60"/>
    <w:rsid w:val="009C2592"/>
    <w:rsid w:val="009C5A7D"/>
    <w:rsid w:val="009E0CC3"/>
    <w:rsid w:val="009E42EC"/>
    <w:rsid w:val="00A05AB2"/>
    <w:rsid w:val="00A201C4"/>
    <w:rsid w:val="00A30170"/>
    <w:rsid w:val="00A4071B"/>
    <w:rsid w:val="00A44DE9"/>
    <w:rsid w:val="00A46316"/>
    <w:rsid w:val="00A74DBF"/>
    <w:rsid w:val="00A846FB"/>
    <w:rsid w:val="00AC386D"/>
    <w:rsid w:val="00AC57F6"/>
    <w:rsid w:val="00AD79D3"/>
    <w:rsid w:val="00B00ED7"/>
    <w:rsid w:val="00B1306B"/>
    <w:rsid w:val="00B361C9"/>
    <w:rsid w:val="00B81562"/>
    <w:rsid w:val="00BC258F"/>
    <w:rsid w:val="00BE16C4"/>
    <w:rsid w:val="00BE2FBD"/>
    <w:rsid w:val="00C60CAD"/>
    <w:rsid w:val="00C645D5"/>
    <w:rsid w:val="00C740D1"/>
    <w:rsid w:val="00C9435F"/>
    <w:rsid w:val="00CA697F"/>
    <w:rsid w:val="00CF4950"/>
    <w:rsid w:val="00CF6175"/>
    <w:rsid w:val="00D01E82"/>
    <w:rsid w:val="00D030F4"/>
    <w:rsid w:val="00D239CF"/>
    <w:rsid w:val="00D553F1"/>
    <w:rsid w:val="00D975A3"/>
    <w:rsid w:val="00DA15EB"/>
    <w:rsid w:val="00DA45C2"/>
    <w:rsid w:val="00DB49A6"/>
    <w:rsid w:val="00DC35D7"/>
    <w:rsid w:val="00DC5C67"/>
    <w:rsid w:val="00DC6FAC"/>
    <w:rsid w:val="00DF068D"/>
    <w:rsid w:val="00E1502B"/>
    <w:rsid w:val="00E246DC"/>
    <w:rsid w:val="00E24EC0"/>
    <w:rsid w:val="00E421B0"/>
    <w:rsid w:val="00E63CEA"/>
    <w:rsid w:val="00E970C7"/>
    <w:rsid w:val="00EB64C4"/>
    <w:rsid w:val="00ED517A"/>
    <w:rsid w:val="00EE3DF4"/>
    <w:rsid w:val="00F03EAB"/>
    <w:rsid w:val="00F15813"/>
    <w:rsid w:val="00F22E12"/>
    <w:rsid w:val="00F33E2A"/>
    <w:rsid w:val="00F85134"/>
    <w:rsid w:val="00F954B8"/>
    <w:rsid w:val="00FC0A01"/>
    <w:rsid w:val="00FC4DEE"/>
    <w:rsid w:val="00FF5FE8"/>
    <w:rsid w:val="02046EFB"/>
    <w:rsid w:val="02F20B1E"/>
    <w:rsid w:val="042A4DB9"/>
    <w:rsid w:val="043A1CB7"/>
    <w:rsid w:val="05345A7D"/>
    <w:rsid w:val="05795008"/>
    <w:rsid w:val="05F04B37"/>
    <w:rsid w:val="05F330D1"/>
    <w:rsid w:val="06D918D4"/>
    <w:rsid w:val="06F957EE"/>
    <w:rsid w:val="083B464C"/>
    <w:rsid w:val="087D0484"/>
    <w:rsid w:val="08FC29C0"/>
    <w:rsid w:val="09C97987"/>
    <w:rsid w:val="0A8A7002"/>
    <w:rsid w:val="0A992CF1"/>
    <w:rsid w:val="0B572952"/>
    <w:rsid w:val="0C012E2B"/>
    <w:rsid w:val="0C252F82"/>
    <w:rsid w:val="0E122491"/>
    <w:rsid w:val="0E5A1D01"/>
    <w:rsid w:val="101631B2"/>
    <w:rsid w:val="10D51E7B"/>
    <w:rsid w:val="1141597D"/>
    <w:rsid w:val="11810B2F"/>
    <w:rsid w:val="1193526D"/>
    <w:rsid w:val="11FE4911"/>
    <w:rsid w:val="120D18BC"/>
    <w:rsid w:val="13A77195"/>
    <w:rsid w:val="13FE357C"/>
    <w:rsid w:val="141D7CE6"/>
    <w:rsid w:val="14DC37B9"/>
    <w:rsid w:val="150C59CF"/>
    <w:rsid w:val="155D7CA4"/>
    <w:rsid w:val="15756B54"/>
    <w:rsid w:val="188226C8"/>
    <w:rsid w:val="19694037"/>
    <w:rsid w:val="1A352232"/>
    <w:rsid w:val="1B5F7539"/>
    <w:rsid w:val="1B7A583C"/>
    <w:rsid w:val="1C1445DC"/>
    <w:rsid w:val="1CFE1999"/>
    <w:rsid w:val="206B70A5"/>
    <w:rsid w:val="207139C4"/>
    <w:rsid w:val="22455215"/>
    <w:rsid w:val="22693596"/>
    <w:rsid w:val="254D18C8"/>
    <w:rsid w:val="25A9531E"/>
    <w:rsid w:val="25EA4F07"/>
    <w:rsid w:val="2676198F"/>
    <w:rsid w:val="272C44BC"/>
    <w:rsid w:val="281C4DD3"/>
    <w:rsid w:val="28697769"/>
    <w:rsid w:val="28A05CEE"/>
    <w:rsid w:val="2920388C"/>
    <w:rsid w:val="29423BBA"/>
    <w:rsid w:val="296059A2"/>
    <w:rsid w:val="29C501D6"/>
    <w:rsid w:val="2B69148D"/>
    <w:rsid w:val="2C4A5A99"/>
    <w:rsid w:val="2C9B4E19"/>
    <w:rsid w:val="2DA53EFB"/>
    <w:rsid w:val="2DC15AC1"/>
    <w:rsid w:val="2E740339"/>
    <w:rsid w:val="2EB10F95"/>
    <w:rsid w:val="2EBB0706"/>
    <w:rsid w:val="2EBB20EA"/>
    <w:rsid w:val="2EFA0D98"/>
    <w:rsid w:val="2F6C5EB4"/>
    <w:rsid w:val="31D71DCB"/>
    <w:rsid w:val="32B47E9B"/>
    <w:rsid w:val="34C1076D"/>
    <w:rsid w:val="35041BFD"/>
    <w:rsid w:val="359D0537"/>
    <w:rsid w:val="35DB13F1"/>
    <w:rsid w:val="360A630E"/>
    <w:rsid w:val="375B4934"/>
    <w:rsid w:val="375E530C"/>
    <w:rsid w:val="37BD3887"/>
    <w:rsid w:val="38A13ECA"/>
    <w:rsid w:val="38B179D1"/>
    <w:rsid w:val="3A2A29C1"/>
    <w:rsid w:val="3B060BB3"/>
    <w:rsid w:val="3C3332CA"/>
    <w:rsid w:val="3C6051D9"/>
    <w:rsid w:val="3C957D44"/>
    <w:rsid w:val="3CE2474D"/>
    <w:rsid w:val="3D333C47"/>
    <w:rsid w:val="3D3E252B"/>
    <w:rsid w:val="3D653537"/>
    <w:rsid w:val="3DA527CE"/>
    <w:rsid w:val="3DCF6840"/>
    <w:rsid w:val="3DD41482"/>
    <w:rsid w:val="3F1303F5"/>
    <w:rsid w:val="409E5D33"/>
    <w:rsid w:val="40B81165"/>
    <w:rsid w:val="40F26817"/>
    <w:rsid w:val="41B656FF"/>
    <w:rsid w:val="41C93229"/>
    <w:rsid w:val="42685786"/>
    <w:rsid w:val="44950740"/>
    <w:rsid w:val="44953871"/>
    <w:rsid w:val="45635019"/>
    <w:rsid w:val="469F7886"/>
    <w:rsid w:val="46E15FD2"/>
    <w:rsid w:val="478E542C"/>
    <w:rsid w:val="47914BEB"/>
    <w:rsid w:val="47AD65F9"/>
    <w:rsid w:val="47DD7EC1"/>
    <w:rsid w:val="47F61B90"/>
    <w:rsid w:val="4856695C"/>
    <w:rsid w:val="48A94367"/>
    <w:rsid w:val="48C81321"/>
    <w:rsid w:val="495F582C"/>
    <w:rsid w:val="4A715B47"/>
    <w:rsid w:val="4B69249F"/>
    <w:rsid w:val="4C2D3947"/>
    <w:rsid w:val="4C5F527F"/>
    <w:rsid w:val="4CE05187"/>
    <w:rsid w:val="4D057FA4"/>
    <w:rsid w:val="4D1820E0"/>
    <w:rsid w:val="4D322B1D"/>
    <w:rsid w:val="4D9E1BC8"/>
    <w:rsid w:val="4E0F504A"/>
    <w:rsid w:val="4ED023EF"/>
    <w:rsid w:val="4F534D57"/>
    <w:rsid w:val="508D029C"/>
    <w:rsid w:val="50F92893"/>
    <w:rsid w:val="5122685C"/>
    <w:rsid w:val="51301F71"/>
    <w:rsid w:val="51682DC7"/>
    <w:rsid w:val="521562EB"/>
    <w:rsid w:val="523E0F5F"/>
    <w:rsid w:val="5380364A"/>
    <w:rsid w:val="53F97275"/>
    <w:rsid w:val="54602D41"/>
    <w:rsid w:val="550D2C87"/>
    <w:rsid w:val="55132319"/>
    <w:rsid w:val="5541585C"/>
    <w:rsid w:val="558212BD"/>
    <w:rsid w:val="55D57FCC"/>
    <w:rsid w:val="562A260D"/>
    <w:rsid w:val="56F028AA"/>
    <w:rsid w:val="57444CB5"/>
    <w:rsid w:val="588E04A9"/>
    <w:rsid w:val="591A3758"/>
    <w:rsid w:val="593C439C"/>
    <w:rsid w:val="59652897"/>
    <w:rsid w:val="5B2C3168"/>
    <w:rsid w:val="5B9D6D82"/>
    <w:rsid w:val="5C365948"/>
    <w:rsid w:val="5C53025D"/>
    <w:rsid w:val="5E4B79F1"/>
    <w:rsid w:val="5EBB11C6"/>
    <w:rsid w:val="5F163E58"/>
    <w:rsid w:val="5FE0042A"/>
    <w:rsid w:val="60FB6609"/>
    <w:rsid w:val="61141861"/>
    <w:rsid w:val="61280922"/>
    <w:rsid w:val="61343B56"/>
    <w:rsid w:val="615A37DD"/>
    <w:rsid w:val="626152EA"/>
    <w:rsid w:val="6263386B"/>
    <w:rsid w:val="632C382F"/>
    <w:rsid w:val="63A26A9A"/>
    <w:rsid w:val="63B921FE"/>
    <w:rsid w:val="63FF01D9"/>
    <w:rsid w:val="640C5CCE"/>
    <w:rsid w:val="65174169"/>
    <w:rsid w:val="65C23DF7"/>
    <w:rsid w:val="66DC7ED3"/>
    <w:rsid w:val="677F07A6"/>
    <w:rsid w:val="67E574C7"/>
    <w:rsid w:val="68546478"/>
    <w:rsid w:val="69082494"/>
    <w:rsid w:val="69125C38"/>
    <w:rsid w:val="69417630"/>
    <w:rsid w:val="6BE2679D"/>
    <w:rsid w:val="6C5B1F79"/>
    <w:rsid w:val="6C7529C6"/>
    <w:rsid w:val="6D201CE8"/>
    <w:rsid w:val="6D3978DD"/>
    <w:rsid w:val="6D7C054B"/>
    <w:rsid w:val="6E4D76BE"/>
    <w:rsid w:val="6F2801E3"/>
    <w:rsid w:val="702F6AD3"/>
    <w:rsid w:val="714D0AC3"/>
    <w:rsid w:val="71DD75CE"/>
    <w:rsid w:val="74A37444"/>
    <w:rsid w:val="75121440"/>
    <w:rsid w:val="7516518F"/>
    <w:rsid w:val="75BF3312"/>
    <w:rsid w:val="761411A4"/>
    <w:rsid w:val="76D10DF1"/>
    <w:rsid w:val="76F06A02"/>
    <w:rsid w:val="772A26CB"/>
    <w:rsid w:val="77D33AC9"/>
    <w:rsid w:val="77D4650D"/>
    <w:rsid w:val="79104D18"/>
    <w:rsid w:val="79214F9F"/>
    <w:rsid w:val="795F6DF2"/>
    <w:rsid w:val="79E726AC"/>
    <w:rsid w:val="7A6E4A55"/>
    <w:rsid w:val="7A6F758F"/>
    <w:rsid w:val="7A7F2AAF"/>
    <w:rsid w:val="7AB9754C"/>
    <w:rsid w:val="7AE22980"/>
    <w:rsid w:val="7B481311"/>
    <w:rsid w:val="7B65277F"/>
    <w:rsid w:val="7C2B6461"/>
    <w:rsid w:val="7C592EDC"/>
    <w:rsid w:val="7C846B1F"/>
    <w:rsid w:val="7CC45152"/>
    <w:rsid w:val="7D1D02DF"/>
    <w:rsid w:val="7DC52034"/>
    <w:rsid w:val="7DF31EEF"/>
    <w:rsid w:val="7E0D4DA7"/>
    <w:rsid w:val="7F4A7755"/>
    <w:rsid w:val="7F680CBC"/>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numPr>
        <w:ilvl w:val="0"/>
        <w:numId w:val="1"/>
      </w:numPr>
      <w:spacing w:before="340" w:after="330" w:line="578" w:lineRule="atLeast"/>
      <w:outlineLvl w:val="0"/>
    </w:pPr>
    <w:rPr>
      <w:b/>
      <w:bCs/>
      <w:kern w:val="44"/>
      <w:sz w:val="44"/>
      <w:szCs w:val="44"/>
      <w:lang w:val="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semiHidden/>
    <w:unhideWhenUsed/>
    <w:qFormat/>
    <w:uiPriority w:val="99"/>
    <w:pPr>
      <w:jc w:val="left"/>
    </w:pPr>
  </w:style>
  <w:style w:type="paragraph" w:styleId="4">
    <w:name w:val="Body Text Indent"/>
    <w:basedOn w:val="1"/>
    <w:qFormat/>
    <w:uiPriority w:val="0"/>
    <w:pPr>
      <w:spacing w:line="360" w:lineRule="auto"/>
      <w:ind w:firstLine="435"/>
    </w:pPr>
    <w:rPr>
      <w:sz w:val="24"/>
    </w:rPr>
  </w:style>
  <w:style w:type="paragraph" w:styleId="5">
    <w:name w:val="Plain Text"/>
    <w:basedOn w:val="1"/>
    <w:link w:val="19"/>
    <w:qFormat/>
    <w:uiPriority w:val="0"/>
    <w:rPr>
      <w:rFonts w:ascii="宋体" w:hAnsi="Courier New"/>
      <w:lang w:val="zh-CN"/>
    </w:rPr>
  </w:style>
  <w:style w:type="paragraph" w:styleId="6">
    <w:name w:val="Balloon Text"/>
    <w:basedOn w:val="1"/>
    <w:link w:val="26"/>
    <w:semiHidden/>
    <w:unhideWhenUsed/>
    <w:qFormat/>
    <w:uiPriority w:val="99"/>
    <w:rPr>
      <w:rFonts w:ascii="宋体"/>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link w:val="20"/>
    <w:qFormat/>
    <w:uiPriority w:val="10"/>
    <w:pPr>
      <w:widowControl/>
      <w:spacing w:before="240" w:after="60"/>
      <w:jc w:val="center"/>
      <w:outlineLvl w:val="0"/>
    </w:pPr>
    <w:rPr>
      <w:rFonts w:ascii="Arial" w:hAnsi="Arial" w:eastAsia="楷体_GB2312"/>
      <w:b/>
      <w:kern w:val="0"/>
      <w:sz w:val="32"/>
      <w:szCs w:val="20"/>
      <w:lang w:val="zh-CN"/>
    </w:rPr>
  </w:style>
  <w:style w:type="paragraph" w:styleId="10">
    <w:name w:val="annotation subject"/>
    <w:basedOn w:val="3"/>
    <w:next w:val="3"/>
    <w:link w:val="28"/>
    <w:semiHidden/>
    <w:unhideWhenUsed/>
    <w:qFormat/>
    <w:uiPriority w:val="99"/>
    <w:rPr>
      <w:b/>
      <w:bCs/>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标题 1字符"/>
    <w:basedOn w:val="13"/>
    <w:link w:val="2"/>
    <w:qFormat/>
    <w:uiPriority w:val="0"/>
    <w:rPr>
      <w:rFonts w:ascii="Times New Roman" w:hAnsi="Times New Roman" w:eastAsia="宋体" w:cs="Times New Roman"/>
      <w:b/>
      <w:bCs/>
      <w:kern w:val="44"/>
      <w:sz w:val="44"/>
      <w:szCs w:val="44"/>
      <w:lang w:val="zh-CN" w:eastAsia="zh-CN"/>
    </w:rPr>
  </w:style>
  <w:style w:type="character" w:customStyle="1" w:styleId="17">
    <w:name w:val="纯文本 Char"/>
    <w:basedOn w:val="13"/>
    <w:semiHidden/>
    <w:qFormat/>
    <w:uiPriority w:val="99"/>
    <w:rPr>
      <w:rFonts w:ascii="宋体" w:hAnsi="Courier New" w:eastAsia="宋体" w:cs="Courier New"/>
      <w:szCs w:val="21"/>
    </w:rPr>
  </w:style>
  <w:style w:type="paragraph" w:customStyle="1" w:styleId="18">
    <w:name w:val="样式1"/>
    <w:basedOn w:val="1"/>
    <w:qFormat/>
    <w:uiPriority w:val="0"/>
    <w:pPr>
      <w:numPr>
        <w:ilvl w:val="0"/>
        <w:numId w:val="2"/>
      </w:numPr>
    </w:pPr>
    <w:rPr>
      <w:rFonts w:ascii="宋体" w:hAnsi="宋体"/>
      <w:szCs w:val="21"/>
    </w:rPr>
  </w:style>
  <w:style w:type="character" w:customStyle="1" w:styleId="19">
    <w:name w:val="纯文本字符"/>
    <w:link w:val="5"/>
    <w:qFormat/>
    <w:uiPriority w:val="0"/>
    <w:rPr>
      <w:rFonts w:ascii="宋体" w:hAnsi="Courier New" w:eastAsia="宋体" w:cs="Times New Roman"/>
      <w:szCs w:val="24"/>
      <w:lang w:val="zh-CN" w:eastAsia="zh-CN"/>
    </w:rPr>
  </w:style>
  <w:style w:type="character" w:customStyle="1" w:styleId="20">
    <w:name w:val="标题字符"/>
    <w:basedOn w:val="13"/>
    <w:link w:val="9"/>
    <w:qFormat/>
    <w:uiPriority w:val="10"/>
    <w:rPr>
      <w:rFonts w:ascii="Arial" w:hAnsi="Arial" w:eastAsia="楷体_GB2312" w:cs="Times New Roman"/>
      <w:b/>
      <w:kern w:val="0"/>
      <w:sz w:val="32"/>
      <w:szCs w:val="20"/>
      <w:lang w:val="zh-CN" w:eastAsia="zh-CN"/>
    </w:rPr>
  </w:style>
  <w:style w:type="paragraph" w:styleId="21">
    <w:name w:val="List Paragraph"/>
    <w:basedOn w:val="1"/>
    <w:qFormat/>
    <w:uiPriority w:val="34"/>
    <w:pPr>
      <w:ind w:firstLine="420" w:firstLineChars="200"/>
    </w:pPr>
  </w:style>
  <w:style w:type="character" w:customStyle="1" w:styleId="22">
    <w:name w:val="页眉字符"/>
    <w:basedOn w:val="13"/>
    <w:link w:val="8"/>
    <w:qFormat/>
    <w:uiPriority w:val="99"/>
    <w:rPr>
      <w:rFonts w:ascii="Times New Roman" w:hAnsi="Times New Roman" w:eastAsia="宋体" w:cs="Times New Roman"/>
      <w:sz w:val="18"/>
      <w:szCs w:val="18"/>
    </w:rPr>
  </w:style>
  <w:style w:type="character" w:customStyle="1" w:styleId="23">
    <w:name w:val="页脚字符"/>
    <w:basedOn w:val="13"/>
    <w:link w:val="7"/>
    <w:qFormat/>
    <w:uiPriority w:val="99"/>
    <w:rPr>
      <w:rFonts w:ascii="Times New Roman" w:hAnsi="Times New Roman" w:eastAsia="宋体" w:cs="Times New Roman"/>
      <w:sz w:val="18"/>
      <w:szCs w:val="18"/>
    </w:rPr>
  </w:style>
  <w:style w:type="character" w:customStyle="1" w:styleId="24">
    <w:name w:val="16"/>
    <w:basedOn w:val="13"/>
    <w:qFormat/>
    <w:uiPriority w:val="0"/>
    <w:rPr>
      <w:rFonts w:hint="default" w:ascii="MicrosoftYaHei" w:hAnsi="MicrosoftYaHei"/>
      <w:color w:val="000000"/>
      <w:sz w:val="24"/>
      <w:szCs w:val="24"/>
    </w:rPr>
  </w:style>
  <w:style w:type="paragraph" w:customStyle="1" w:styleId="25">
    <w:name w:val="图表"/>
    <w:basedOn w:val="1"/>
    <w:qFormat/>
    <w:uiPriority w:val="0"/>
    <w:pPr>
      <w:spacing w:line="360" w:lineRule="auto"/>
      <w:jc w:val="center"/>
    </w:pPr>
    <w:rPr>
      <w:rFonts w:eastAsia="微软雅黑"/>
      <w:sz w:val="18"/>
    </w:rPr>
  </w:style>
  <w:style w:type="character" w:customStyle="1" w:styleId="26">
    <w:name w:val="批注框文本字符"/>
    <w:basedOn w:val="13"/>
    <w:link w:val="6"/>
    <w:semiHidden/>
    <w:qFormat/>
    <w:uiPriority w:val="99"/>
    <w:rPr>
      <w:rFonts w:ascii="宋体"/>
      <w:kern w:val="2"/>
      <w:sz w:val="18"/>
      <w:szCs w:val="18"/>
    </w:rPr>
  </w:style>
  <w:style w:type="character" w:customStyle="1" w:styleId="27">
    <w:name w:val="批注文字字符"/>
    <w:basedOn w:val="13"/>
    <w:link w:val="3"/>
    <w:semiHidden/>
    <w:qFormat/>
    <w:uiPriority w:val="99"/>
    <w:rPr>
      <w:kern w:val="2"/>
      <w:sz w:val="21"/>
      <w:szCs w:val="24"/>
    </w:rPr>
  </w:style>
  <w:style w:type="character" w:customStyle="1" w:styleId="28">
    <w:name w:val="批注主题字符"/>
    <w:basedOn w:val="27"/>
    <w:link w:val="10"/>
    <w:semiHidden/>
    <w:qFormat/>
    <w:uiPriority w:val="99"/>
    <w:rPr>
      <w:b/>
      <w:bCs/>
      <w:kern w:val="2"/>
      <w:sz w:val="21"/>
      <w:szCs w:val="24"/>
    </w:rPr>
  </w:style>
  <w:style w:type="paragraph" w:customStyle="1" w:styleId="29">
    <w:name w:val="TableText"/>
    <w:basedOn w:val="30"/>
    <w:qFormat/>
    <w:uiPriority w:val="0"/>
    <w:pPr>
      <w:tabs>
        <w:tab w:val="decimal" w:pos="1008"/>
      </w:tabs>
    </w:pPr>
  </w:style>
  <w:style w:type="paragraph" w:customStyle="1" w:styleId="30">
    <w:name w:val="TableData"/>
    <w:basedOn w:val="1"/>
    <w:qFormat/>
    <w:uiPriority w:val="0"/>
    <w:pPr>
      <w:widowControl/>
      <w:tabs>
        <w:tab w:val="decimal" w:pos="1008"/>
      </w:tabs>
      <w:overflowPunct w:val="0"/>
      <w:autoSpaceDE w:val="0"/>
      <w:autoSpaceDN w:val="0"/>
      <w:spacing w:before="120" w:after="120" w:line="120" w:lineRule="atLeast"/>
      <w:ind w:left="72" w:right="72"/>
      <w:jc w:val="left"/>
    </w:pPr>
    <w:rPr>
      <w:rFonts w:ascii="Arial" w:hAnsi="Arial"/>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692A0B-D4F0-A640-98B5-3865853C99D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1720</Words>
  <Characters>9808</Characters>
  <Lines>81</Lines>
  <Paragraphs>23</Paragraphs>
  <TotalTime>43</TotalTime>
  <ScaleCrop>false</ScaleCrop>
  <LinksUpToDate>false</LinksUpToDate>
  <CharactersWithSpaces>11505</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2019-12-20T02:26:00Z</dcterms:created>
  <dc:creator>SPIC</dc:creator>
  <cp:lastModifiedBy>于曼华</cp:lastModifiedBy>
  <dcterms:modified xsi:type="dcterms:W3CDTF">2019-12-26T01:43:01Z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