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000000" w:themeColor="text1"/>
          <w:sz w:val="28"/>
          <w:szCs w:val="28"/>
        </w:rPr>
      </w:pPr>
      <w:r>
        <w:rPr>
          <w:rFonts w:hint="eastAsia"/>
          <w:color w:val="000000" w:themeColor="text1"/>
          <w:sz w:val="28"/>
          <w:szCs w:val="28"/>
        </w:rPr>
        <w:t>合同编号：</w:t>
      </w:r>
      <w:r>
        <w:rPr>
          <w:color w:val="000000" w:themeColor="text1"/>
          <w:sz w:val="28"/>
          <w:szCs w:val="28"/>
        </w:rPr>
        <w:t xml:space="preserve"> </w:t>
      </w:r>
    </w:p>
    <w:p>
      <w:pPr>
        <w:rPr>
          <w:color w:val="000000" w:themeColor="text1"/>
          <w:sz w:val="28"/>
          <w:szCs w:val="28"/>
        </w:rPr>
      </w:pPr>
    </w:p>
    <w:p>
      <w:pPr>
        <w:rPr>
          <w:color w:val="000000" w:themeColor="text1"/>
          <w:sz w:val="28"/>
          <w:szCs w:val="28"/>
        </w:rPr>
      </w:pPr>
    </w:p>
    <w:p>
      <w:pPr>
        <w:jc w:val="center"/>
        <w:rPr>
          <w:b/>
          <w:color w:val="000000" w:themeColor="text1"/>
          <w:sz w:val="44"/>
          <w:szCs w:val="44"/>
        </w:rPr>
      </w:pPr>
      <w:r>
        <w:rPr>
          <w:rFonts w:hint="eastAsia"/>
          <w:b/>
          <w:color w:val="000000" w:themeColor="text1"/>
          <w:sz w:val="44"/>
          <w:szCs w:val="44"/>
        </w:rPr>
        <w:t>采 购 合 同</w:t>
      </w:r>
    </w:p>
    <w:p>
      <w:pPr>
        <w:rPr>
          <w:color w:val="000000" w:themeColor="text1"/>
          <w:sz w:val="28"/>
          <w:szCs w:val="28"/>
        </w:rPr>
      </w:pPr>
    </w:p>
    <w:p>
      <w:pPr>
        <w:rPr>
          <w:color w:val="000000" w:themeColor="text1"/>
          <w:sz w:val="28"/>
          <w:szCs w:val="28"/>
        </w:rPr>
      </w:pPr>
    </w:p>
    <w:p>
      <w:pPr>
        <w:rPr>
          <w:color w:val="000000" w:themeColor="text1"/>
          <w:sz w:val="28"/>
          <w:szCs w:val="28"/>
        </w:rPr>
      </w:pPr>
    </w:p>
    <w:p>
      <w:pPr>
        <w:rPr>
          <w:color w:val="000000" w:themeColor="text1"/>
          <w:sz w:val="28"/>
          <w:szCs w:val="28"/>
        </w:rPr>
      </w:pPr>
    </w:p>
    <w:p>
      <w:pPr>
        <w:rPr>
          <w:color w:val="000000" w:themeColor="text1"/>
          <w:sz w:val="28"/>
          <w:szCs w:val="28"/>
        </w:rPr>
      </w:pPr>
    </w:p>
    <w:p>
      <w:pPr>
        <w:rPr>
          <w:color w:val="000000" w:themeColor="text1"/>
          <w:sz w:val="28"/>
          <w:szCs w:val="28"/>
        </w:rPr>
      </w:pPr>
    </w:p>
    <w:p>
      <w:pPr>
        <w:ind w:firstLine="1400" w:firstLineChars="500"/>
        <w:jc w:val="left"/>
        <w:rPr>
          <w:color w:val="000000" w:themeColor="text1"/>
          <w:sz w:val="28"/>
          <w:szCs w:val="28"/>
          <w:u w:val="single"/>
        </w:rPr>
      </w:pPr>
      <w:r>
        <w:rPr>
          <w:rFonts w:hint="eastAsia"/>
          <w:color w:val="000000" w:themeColor="text1"/>
          <w:sz w:val="28"/>
          <w:szCs w:val="28"/>
        </w:rPr>
        <w:t>需方：</w:t>
      </w:r>
      <w:r>
        <w:rPr>
          <w:rFonts w:hint="eastAsia" w:ascii="新宋体" w:hAnsi="新宋体" w:eastAsia="新宋体"/>
          <w:sz w:val="28"/>
          <w:szCs w:val="28"/>
          <w:u w:val="single"/>
        </w:rPr>
        <w:t>衡水斑马汽车制造有限公司</w:t>
      </w:r>
    </w:p>
    <w:p>
      <w:pPr>
        <w:ind w:firstLine="840" w:firstLineChars="300"/>
        <w:jc w:val="left"/>
        <w:rPr>
          <w:color w:val="000000" w:themeColor="text1"/>
          <w:sz w:val="28"/>
          <w:szCs w:val="28"/>
        </w:rPr>
      </w:pPr>
    </w:p>
    <w:p>
      <w:pPr>
        <w:ind w:firstLine="1400" w:firstLineChars="500"/>
        <w:jc w:val="left"/>
        <w:rPr>
          <w:color w:val="FF0000"/>
          <w:sz w:val="28"/>
          <w:szCs w:val="28"/>
        </w:rPr>
      </w:pPr>
      <w:r>
        <w:rPr>
          <w:rFonts w:hint="eastAsia"/>
          <w:color w:val="000000" w:themeColor="text1"/>
          <w:sz w:val="28"/>
          <w:szCs w:val="28"/>
        </w:rPr>
        <w:t>供方：河北光华荣昌汽车部件有限公司</w:t>
      </w:r>
    </w:p>
    <w:p>
      <w:pPr>
        <w:jc w:val="left"/>
        <w:rPr>
          <w:color w:val="000000" w:themeColor="text1"/>
          <w:sz w:val="28"/>
          <w:szCs w:val="28"/>
        </w:rPr>
      </w:pPr>
    </w:p>
    <w:p>
      <w:pPr>
        <w:ind w:firstLine="1400" w:firstLineChars="500"/>
        <w:jc w:val="left"/>
        <w:rPr>
          <w:color w:val="000000" w:themeColor="text1"/>
          <w:sz w:val="28"/>
          <w:szCs w:val="28"/>
          <w:u w:val="single"/>
        </w:rPr>
      </w:pPr>
      <w:r>
        <w:rPr>
          <w:rFonts w:hint="eastAsia"/>
          <w:color w:val="000000" w:themeColor="text1"/>
          <w:sz w:val="28"/>
          <w:szCs w:val="28"/>
        </w:rPr>
        <w:t>签订日期：  2019</w:t>
      </w:r>
      <w:r>
        <w:rPr>
          <w:rFonts w:hint="eastAsia"/>
          <w:color w:val="000000" w:themeColor="text1"/>
          <w:sz w:val="28"/>
          <w:szCs w:val="28"/>
          <w:u w:val="single"/>
        </w:rPr>
        <w:t>年12月 31 日</w:t>
      </w:r>
    </w:p>
    <w:p>
      <w:pPr>
        <w:ind w:firstLine="1120" w:firstLineChars="400"/>
        <w:jc w:val="left"/>
        <w:rPr>
          <w:color w:val="000000" w:themeColor="text1"/>
          <w:sz w:val="28"/>
          <w:szCs w:val="28"/>
        </w:rPr>
      </w:pPr>
    </w:p>
    <w:p>
      <w:pPr>
        <w:ind w:firstLine="1400" w:firstLineChars="500"/>
        <w:jc w:val="left"/>
        <w:rPr>
          <w:color w:val="000000" w:themeColor="text1"/>
          <w:sz w:val="28"/>
          <w:szCs w:val="28"/>
        </w:rPr>
      </w:pPr>
      <w:r>
        <w:rPr>
          <w:rFonts w:hint="eastAsia"/>
          <w:color w:val="000000" w:themeColor="text1"/>
          <w:sz w:val="28"/>
          <w:szCs w:val="28"/>
        </w:rPr>
        <w:t>签订地点：</w:t>
      </w:r>
      <w:r>
        <w:rPr>
          <w:rFonts w:hint="eastAsia" w:ascii="新宋体" w:hAnsi="新宋体" w:eastAsia="新宋体"/>
          <w:sz w:val="24"/>
          <w:u w:val="single"/>
        </w:rPr>
        <w:t>河北省衡水市</w:t>
      </w:r>
    </w:p>
    <w:p>
      <w:pPr>
        <w:rPr>
          <w:color w:val="000000" w:themeColor="text1"/>
          <w:sz w:val="28"/>
          <w:szCs w:val="28"/>
        </w:rPr>
      </w:pPr>
    </w:p>
    <w:p>
      <w:pPr>
        <w:rPr>
          <w:color w:val="000000" w:themeColor="text1"/>
          <w:sz w:val="28"/>
          <w:szCs w:val="28"/>
        </w:rPr>
      </w:pPr>
    </w:p>
    <w:p>
      <w:pPr>
        <w:rPr>
          <w:color w:val="000000" w:themeColor="text1"/>
          <w:sz w:val="28"/>
          <w:szCs w:val="28"/>
        </w:rPr>
      </w:pPr>
    </w:p>
    <w:p>
      <w:pPr>
        <w:rPr>
          <w:color w:val="000000" w:themeColor="text1"/>
          <w:sz w:val="28"/>
          <w:szCs w:val="28"/>
        </w:rPr>
      </w:pPr>
    </w:p>
    <w:p>
      <w:pPr>
        <w:rPr>
          <w:color w:val="000000" w:themeColor="text1"/>
          <w:sz w:val="28"/>
          <w:szCs w:val="28"/>
        </w:rPr>
      </w:pPr>
    </w:p>
    <w:p>
      <w:pPr>
        <w:spacing w:line="360" w:lineRule="auto"/>
        <w:ind w:firstLine="480" w:firstLineChars="200"/>
        <w:rPr>
          <w:color w:val="000000" w:themeColor="text1"/>
          <w:sz w:val="24"/>
        </w:rPr>
      </w:pPr>
      <w:r>
        <w:rPr>
          <w:rFonts w:hint="eastAsia"/>
          <w:color w:val="000000" w:themeColor="text1"/>
          <w:sz w:val="24"/>
        </w:rPr>
        <w:t xml:space="preserve">需方：衡水斑马汽车制造有限公司                           </w:t>
      </w:r>
    </w:p>
    <w:p>
      <w:pPr>
        <w:spacing w:line="360" w:lineRule="auto"/>
        <w:ind w:firstLine="480" w:firstLineChars="200"/>
        <w:rPr>
          <w:color w:val="000000" w:themeColor="text1"/>
          <w:sz w:val="24"/>
        </w:rPr>
      </w:pPr>
      <w:r>
        <w:rPr>
          <w:rFonts w:hint="eastAsia"/>
          <w:color w:val="000000" w:themeColor="text1"/>
          <w:sz w:val="24"/>
        </w:rPr>
        <w:t>联系地址：河北省衡水市高新区科技谷36号</w:t>
      </w:r>
    </w:p>
    <w:p>
      <w:pPr>
        <w:spacing w:line="360" w:lineRule="auto"/>
        <w:ind w:firstLine="480" w:firstLineChars="200"/>
        <w:rPr>
          <w:color w:val="000000" w:themeColor="text1"/>
          <w:sz w:val="24"/>
        </w:rPr>
      </w:pPr>
      <w:r>
        <w:rPr>
          <w:rFonts w:hint="eastAsia"/>
          <w:color w:val="000000" w:themeColor="text1"/>
          <w:sz w:val="24"/>
        </w:rPr>
        <w:t>法定代表人：</w:t>
      </w:r>
      <w:r>
        <w:rPr>
          <w:color w:val="000000" w:themeColor="text1"/>
          <w:sz w:val="24"/>
        </w:rPr>
        <w:t xml:space="preserve"> </w:t>
      </w:r>
    </w:p>
    <w:p>
      <w:pPr>
        <w:spacing w:line="360" w:lineRule="auto"/>
        <w:ind w:firstLine="480" w:firstLineChars="200"/>
        <w:rPr>
          <w:color w:val="000000" w:themeColor="text1"/>
          <w:sz w:val="24"/>
        </w:rPr>
      </w:pPr>
      <w:r>
        <w:rPr>
          <w:rFonts w:hint="eastAsia"/>
          <w:color w:val="000000" w:themeColor="text1"/>
          <w:sz w:val="24"/>
        </w:rPr>
        <w:t>电话：</w:t>
      </w:r>
    </w:p>
    <w:p>
      <w:pPr>
        <w:spacing w:line="360" w:lineRule="auto"/>
        <w:rPr>
          <w:color w:val="000000" w:themeColor="text1"/>
          <w:sz w:val="24"/>
        </w:rPr>
      </w:pPr>
    </w:p>
    <w:p>
      <w:pPr>
        <w:spacing w:line="360" w:lineRule="auto"/>
        <w:ind w:firstLine="480" w:firstLineChars="200"/>
        <w:rPr>
          <w:sz w:val="28"/>
          <w:szCs w:val="28"/>
        </w:rPr>
      </w:pPr>
      <w:r>
        <w:rPr>
          <w:rFonts w:hint="eastAsia"/>
          <w:color w:val="000000" w:themeColor="text1"/>
          <w:sz w:val="24"/>
        </w:rPr>
        <w:t>供方：河北光华荣昌汽车部件有限公司</w:t>
      </w:r>
    </w:p>
    <w:p>
      <w:pPr>
        <w:spacing w:line="360" w:lineRule="auto"/>
        <w:ind w:firstLine="480" w:firstLineChars="200"/>
        <w:rPr>
          <w:sz w:val="28"/>
          <w:szCs w:val="28"/>
        </w:rPr>
      </w:pPr>
      <w:r>
        <w:rPr>
          <w:rFonts w:hint="eastAsia"/>
          <w:color w:val="000000" w:themeColor="text1"/>
          <w:sz w:val="24"/>
        </w:rPr>
        <w:t>联系地址：</w:t>
      </w:r>
      <w:r>
        <w:rPr>
          <w:rFonts w:hint="eastAsia"/>
          <w:sz w:val="28"/>
          <w:szCs w:val="28"/>
        </w:rPr>
        <w:t>河北省黄骅市经济开发区</w:t>
      </w:r>
    </w:p>
    <w:p>
      <w:pPr>
        <w:spacing w:line="360" w:lineRule="auto"/>
        <w:ind w:firstLine="480" w:firstLineChars="200"/>
        <w:rPr>
          <w:sz w:val="24"/>
        </w:rPr>
      </w:pPr>
      <w:r>
        <w:rPr>
          <w:rFonts w:hint="eastAsia"/>
          <w:sz w:val="24"/>
        </w:rPr>
        <w:t>法定代表人：赵月强</w:t>
      </w:r>
    </w:p>
    <w:p>
      <w:pPr>
        <w:spacing w:line="360" w:lineRule="auto"/>
        <w:ind w:firstLine="480" w:firstLineChars="200"/>
        <w:rPr>
          <w:sz w:val="24"/>
        </w:rPr>
      </w:pPr>
      <w:r>
        <w:rPr>
          <w:rFonts w:hint="eastAsia"/>
          <w:sz w:val="24"/>
        </w:rPr>
        <w:t>电话：</w:t>
      </w:r>
      <w:r>
        <w:rPr>
          <w:rFonts w:hint="eastAsia"/>
          <w:sz w:val="28"/>
          <w:szCs w:val="28"/>
        </w:rPr>
        <w:t>010-89774862</w:t>
      </w:r>
    </w:p>
    <w:p>
      <w:pPr>
        <w:spacing w:line="360" w:lineRule="auto"/>
        <w:ind w:firstLine="360" w:firstLineChars="150"/>
        <w:rPr>
          <w:color w:val="000000" w:themeColor="text1"/>
          <w:sz w:val="24"/>
        </w:rPr>
      </w:pPr>
      <w:r>
        <w:rPr>
          <w:rFonts w:hint="eastAsia"/>
          <w:color w:val="000000" w:themeColor="text1"/>
          <w:sz w:val="24"/>
        </w:rPr>
        <w:t>为建立稳定的供求合作关系，根据《中华人民共和国合同法》及相关法律法规规定，供需双方本着公平诚信、互惠互利、共同发展的原则，经过友好协商，签订如下协议：</w:t>
      </w:r>
    </w:p>
    <w:p>
      <w:pPr>
        <w:numPr>
          <w:ilvl w:val="0"/>
          <w:numId w:val="1"/>
        </w:numPr>
        <w:spacing w:line="360" w:lineRule="auto"/>
        <w:rPr>
          <w:color w:val="000000" w:themeColor="text1"/>
          <w:sz w:val="24"/>
        </w:rPr>
      </w:pPr>
      <w:r>
        <w:rPr>
          <w:rFonts w:hint="eastAsia"/>
          <w:color w:val="000000" w:themeColor="text1"/>
          <w:sz w:val="24"/>
        </w:rPr>
        <w:t>需方向供方采购产品的名称、规格型号、价格等详见附件采购产品价格协议：</w:t>
      </w:r>
    </w:p>
    <w:p>
      <w:pPr>
        <w:spacing w:line="360" w:lineRule="auto"/>
        <w:rPr>
          <w:color w:val="000000" w:themeColor="text1"/>
          <w:sz w:val="24"/>
        </w:rPr>
      </w:pPr>
      <w:r>
        <w:rPr>
          <w:rFonts w:hint="eastAsia"/>
          <w:color w:val="000000" w:themeColor="text1"/>
          <w:sz w:val="24"/>
        </w:rPr>
        <w:t>二、产品价格按照采购产品价格协议中确定的单价，数量以需方的订单或采购产品明细表为准。价格发生明显变动的，由供需双方另行协商，以补充协议的方式确定（合同价格含13%增值税）。</w:t>
      </w:r>
    </w:p>
    <w:p>
      <w:pPr>
        <w:spacing w:line="360" w:lineRule="auto"/>
        <w:ind w:firstLine="480" w:firstLineChars="200"/>
        <w:rPr>
          <w:color w:val="000000" w:themeColor="text1"/>
          <w:sz w:val="24"/>
        </w:rPr>
      </w:pPr>
      <w:r>
        <w:rPr>
          <w:rFonts w:hint="eastAsia"/>
          <w:color w:val="000000" w:themeColor="text1"/>
          <w:sz w:val="24"/>
        </w:rPr>
        <w:t>供方保证不得有价格欺诈行为，如发现供方存在价格欺诈行为，需方可根据由供方欺诈行为所造成的损失，向供方要求不少于供货产品市值的</w:t>
      </w:r>
      <w:r>
        <w:rPr>
          <w:color w:val="000000" w:themeColor="text1"/>
          <w:sz w:val="24"/>
        </w:rPr>
        <w:t>5-10</w:t>
      </w:r>
      <w:r>
        <w:rPr>
          <w:rFonts w:hint="eastAsia"/>
          <w:color w:val="000000" w:themeColor="text1"/>
          <w:sz w:val="24"/>
        </w:rPr>
        <w:t>倍的赔偿，并视其情节降低其供货比例或取消其供货资格。</w:t>
      </w:r>
    </w:p>
    <w:p>
      <w:pPr>
        <w:spacing w:line="400" w:lineRule="exact"/>
        <w:rPr>
          <w:color w:val="000000" w:themeColor="text1"/>
          <w:sz w:val="24"/>
        </w:rPr>
      </w:pPr>
      <w:r>
        <w:rPr>
          <w:rFonts w:hint="eastAsia"/>
          <w:color w:val="000000" w:themeColor="text1"/>
          <w:sz w:val="24"/>
        </w:rPr>
        <w:t>三、包装与交付：</w:t>
      </w:r>
    </w:p>
    <w:p>
      <w:pPr>
        <w:spacing w:line="400" w:lineRule="exact"/>
        <w:ind w:firstLine="480" w:firstLineChars="200"/>
        <w:rPr>
          <w:rFonts w:ascii="宋体"/>
          <w:color w:val="000000" w:themeColor="text1"/>
          <w:sz w:val="24"/>
        </w:rPr>
      </w:pPr>
      <w:r>
        <w:rPr>
          <w:color w:val="000000" w:themeColor="text1"/>
          <w:sz w:val="24"/>
        </w:rPr>
        <w:t>1</w:t>
      </w:r>
      <w:r>
        <w:rPr>
          <w:rFonts w:hint="eastAsia"/>
          <w:color w:val="000000" w:themeColor="text1"/>
          <w:sz w:val="24"/>
        </w:rPr>
        <w:t>、供方产品</w:t>
      </w:r>
      <w:r>
        <w:rPr>
          <w:rFonts w:hint="eastAsia" w:ascii="宋体" w:hAnsi="宋体"/>
          <w:color w:val="000000" w:themeColor="text1"/>
          <w:sz w:val="24"/>
        </w:rPr>
        <w:t>包装必须适合长途运输</w:t>
      </w:r>
      <w:r>
        <w:rPr>
          <w:rFonts w:hint="eastAsia" w:ascii="宋体" w:hAnsi="宋体"/>
          <w:color w:val="000000" w:themeColor="text1"/>
          <w:kern w:val="0"/>
          <w:sz w:val="24"/>
        </w:rPr>
        <w:t>和储存要求，并</w:t>
      </w:r>
      <w:r>
        <w:rPr>
          <w:rFonts w:hint="eastAsia" w:ascii="宋体" w:hAnsi="宋体"/>
          <w:color w:val="000000" w:themeColor="text1"/>
          <w:sz w:val="24"/>
        </w:rPr>
        <w:t>防湿、防潮、防震、防锈。由于包装不良或采用不充分的防护措施而造成产品的任何毁损，或因缺少相关单证造成产品退运的，供方应负担由此产生的一切费用和损失。包装费用由供方承担。</w:t>
      </w:r>
    </w:p>
    <w:p>
      <w:pPr>
        <w:spacing w:line="400" w:lineRule="exact"/>
        <w:ind w:firstLine="480" w:firstLineChars="200"/>
        <w:rPr>
          <w:rFonts w:ascii="宋体"/>
          <w:color w:val="000000" w:themeColor="text1"/>
          <w:sz w:val="24"/>
        </w:rPr>
      </w:pPr>
      <w:r>
        <w:rPr>
          <w:rFonts w:ascii="宋体" w:hAnsi="宋体"/>
          <w:color w:val="000000" w:themeColor="text1"/>
          <w:sz w:val="24"/>
        </w:rPr>
        <w:t>2</w:t>
      </w:r>
      <w:r>
        <w:rPr>
          <w:rFonts w:hint="eastAsia" w:ascii="宋体" w:hAnsi="宋体"/>
          <w:color w:val="000000" w:themeColor="text1"/>
          <w:sz w:val="24"/>
        </w:rPr>
        <w:t>、供方按采购订单向需方供应配套零部件时，供方必须在所有包装上标识材料代码、供应商名称、产品规格型号、商标及永久性标识，并有独立的包装，包装内应同时提供供货（装箱）清单、产品合格证、产品出厂检验报告、保修单等；如供方从其他供货商采购产品配套件或元器件，供方应提供其清单及合格证明，进口件还需提供进口原产地证明和商检证明。</w:t>
      </w:r>
    </w:p>
    <w:p>
      <w:pPr>
        <w:spacing w:line="360" w:lineRule="auto"/>
        <w:ind w:firstLine="480" w:firstLineChars="200"/>
        <w:rPr>
          <w:color w:val="000000" w:themeColor="text1"/>
          <w:sz w:val="24"/>
        </w:rPr>
      </w:pPr>
      <w:r>
        <w:rPr>
          <w:color w:val="000000" w:themeColor="text1"/>
          <w:sz w:val="24"/>
        </w:rPr>
        <w:t>3</w:t>
      </w:r>
      <w:r>
        <w:rPr>
          <w:rFonts w:hint="eastAsia"/>
          <w:color w:val="000000" w:themeColor="text1"/>
          <w:sz w:val="24"/>
        </w:rPr>
        <w:t>、交付地点为需方生产地仓库或需方指定地点，运输费用、保险费、装卸费及运输过程的风险的约定详见采购产品明细表。</w:t>
      </w:r>
    </w:p>
    <w:p>
      <w:pPr>
        <w:spacing w:line="360" w:lineRule="auto"/>
        <w:ind w:firstLine="480" w:firstLineChars="200"/>
        <w:rPr>
          <w:color w:val="000000" w:themeColor="text1"/>
          <w:sz w:val="24"/>
        </w:rPr>
      </w:pPr>
      <w:r>
        <w:rPr>
          <w:rFonts w:ascii="宋体" w:hAnsi="宋体"/>
          <w:color w:val="000000" w:themeColor="text1"/>
          <w:kern w:val="0"/>
          <w:sz w:val="24"/>
        </w:rPr>
        <w:t>4</w:t>
      </w:r>
      <w:r>
        <w:rPr>
          <w:rFonts w:hint="eastAsia" w:ascii="宋体" w:hAnsi="宋体"/>
          <w:color w:val="000000" w:themeColor="text1"/>
          <w:kern w:val="0"/>
          <w:sz w:val="24"/>
        </w:rPr>
        <w:t>、合同产品运抵需方或需方指定地点卸载至仓库并经验收合格后视为交付，货物的所有权在货物交付时转移，交付前的所有风险责任由供方承担。</w:t>
      </w:r>
    </w:p>
    <w:p>
      <w:pPr>
        <w:spacing w:line="360" w:lineRule="auto"/>
        <w:rPr>
          <w:color w:val="000000" w:themeColor="text1"/>
          <w:sz w:val="24"/>
          <w:u w:val="single"/>
        </w:rPr>
      </w:pPr>
      <w:r>
        <w:rPr>
          <w:rFonts w:hint="eastAsia"/>
          <w:color w:val="000000" w:themeColor="text1"/>
          <w:sz w:val="24"/>
        </w:rPr>
        <w:t>四、需方根据行业惯例和供方所供产品的重要度及安全特性，确定供方的质量保证金，质保金按照下列第</w:t>
      </w:r>
      <w:r>
        <w:rPr>
          <w:rFonts w:hint="eastAsia"/>
          <w:color w:val="000000" w:themeColor="text1"/>
          <w:sz w:val="24"/>
          <w:u w:val="single"/>
        </w:rPr>
        <w:t xml:space="preserve">  2   </w:t>
      </w:r>
      <w:r>
        <w:rPr>
          <w:rFonts w:hint="eastAsia"/>
          <w:color w:val="000000" w:themeColor="text1"/>
          <w:sz w:val="24"/>
        </w:rPr>
        <w:t>种方式确定：</w:t>
      </w:r>
    </w:p>
    <w:p>
      <w:pPr>
        <w:ind w:firstLine="480" w:firstLineChars="200"/>
        <w:jc w:val="left"/>
        <w:rPr>
          <w:color w:val="000000" w:themeColor="text1"/>
          <w:sz w:val="24"/>
        </w:rPr>
      </w:pPr>
      <w:r>
        <w:rPr>
          <w:color w:val="000000" w:themeColor="text1"/>
          <w:sz w:val="24"/>
        </w:rPr>
        <w:t>1</w:t>
      </w:r>
      <w:r>
        <w:rPr>
          <w:rFonts w:hint="eastAsia"/>
          <w:color w:val="000000" w:themeColor="text1"/>
          <w:sz w:val="24"/>
        </w:rPr>
        <w:t>、质量保证金金额为人民币</w:t>
      </w:r>
      <w:r>
        <w:rPr>
          <w:rFonts w:hint="eastAsia"/>
          <w:sz w:val="24"/>
          <w:u w:val="single"/>
        </w:rPr>
        <w:t xml:space="preserve">      </w:t>
      </w:r>
      <w:r>
        <w:rPr>
          <w:rFonts w:hint="eastAsia"/>
          <w:sz w:val="24"/>
        </w:rPr>
        <w:t>元整（大写人民币</w:t>
      </w:r>
      <w:r>
        <w:rPr>
          <w:rFonts w:hint="eastAsia"/>
          <w:sz w:val="28"/>
          <w:szCs w:val="28"/>
        </w:rPr>
        <w:t xml:space="preserve">    </w:t>
      </w:r>
      <w:r>
        <w:rPr>
          <w:rFonts w:hint="eastAsia"/>
          <w:sz w:val="24"/>
        </w:rPr>
        <w:t>元整），其质</w:t>
      </w:r>
      <w:r>
        <w:rPr>
          <w:rFonts w:hint="eastAsia"/>
          <w:color w:val="000000" w:themeColor="text1"/>
          <w:sz w:val="24"/>
        </w:rPr>
        <w:t>量保证金以供方供货方式体现（从供方货款中扣除）</w:t>
      </w:r>
    </w:p>
    <w:p>
      <w:pPr>
        <w:spacing w:line="360" w:lineRule="auto"/>
        <w:ind w:firstLine="480" w:firstLineChars="200"/>
        <w:rPr>
          <w:color w:val="000000" w:themeColor="text1"/>
          <w:sz w:val="24"/>
        </w:rPr>
      </w:pPr>
      <w:r>
        <w:rPr>
          <w:color w:val="000000" w:themeColor="text1"/>
          <w:sz w:val="24"/>
        </w:rPr>
        <w:t>2</w:t>
      </w:r>
      <w:r>
        <w:rPr>
          <w:rFonts w:hint="eastAsia"/>
          <w:color w:val="000000" w:themeColor="text1"/>
          <w:sz w:val="24"/>
        </w:rPr>
        <w:t xml:space="preserve">、质量保证金为货款的 </w:t>
      </w:r>
      <w:r>
        <w:rPr>
          <w:rFonts w:hint="eastAsia"/>
          <w:color w:val="000000" w:themeColor="text1"/>
          <w:sz w:val="24"/>
          <w:u w:val="single"/>
        </w:rPr>
        <w:t xml:space="preserve"> 1万元   .</w:t>
      </w:r>
    </w:p>
    <w:p>
      <w:pPr>
        <w:spacing w:line="400" w:lineRule="exact"/>
        <w:rPr>
          <w:color w:val="000000" w:themeColor="text1"/>
          <w:sz w:val="24"/>
        </w:rPr>
      </w:pPr>
      <w:r>
        <w:rPr>
          <w:rFonts w:hint="eastAsia"/>
          <w:color w:val="000000" w:themeColor="text1"/>
          <w:sz w:val="24"/>
        </w:rPr>
        <w:t>五、结算方式、付款期限及付款方式：</w:t>
      </w:r>
    </w:p>
    <w:p>
      <w:pPr>
        <w:spacing w:line="400" w:lineRule="exact"/>
        <w:ind w:firstLine="480" w:firstLineChars="200"/>
        <w:rPr>
          <w:color w:val="000000" w:themeColor="text1"/>
          <w:sz w:val="24"/>
        </w:rPr>
      </w:pPr>
      <w:r>
        <w:rPr>
          <w:color w:val="000000" w:themeColor="text1"/>
          <w:sz w:val="24"/>
        </w:rPr>
        <w:t>1</w:t>
      </w:r>
      <w:r>
        <w:rPr>
          <w:rFonts w:hint="eastAsia"/>
          <w:color w:val="000000" w:themeColor="text1"/>
          <w:sz w:val="24"/>
        </w:rPr>
        <w:t>、供需双方的结算凭据以采购订单、验收合格单及入库单。</w:t>
      </w:r>
    </w:p>
    <w:p>
      <w:pPr>
        <w:spacing w:line="400" w:lineRule="exact"/>
        <w:ind w:firstLine="480" w:firstLineChars="200"/>
        <w:rPr>
          <w:color w:val="000000" w:themeColor="text1"/>
          <w:sz w:val="24"/>
        </w:rPr>
      </w:pPr>
      <w:r>
        <w:rPr>
          <w:color w:val="000000" w:themeColor="text1"/>
          <w:sz w:val="24"/>
        </w:rPr>
        <w:t>2</w:t>
      </w:r>
      <w:r>
        <w:rPr>
          <w:rFonts w:hint="eastAsia"/>
          <w:color w:val="000000" w:themeColor="text1"/>
          <w:sz w:val="24"/>
        </w:rPr>
        <w:t>、供方在当月</w:t>
      </w:r>
      <w:r>
        <w:rPr>
          <w:color w:val="000000" w:themeColor="text1"/>
          <w:sz w:val="24"/>
        </w:rPr>
        <w:t>25</w:t>
      </w:r>
      <w:r>
        <w:rPr>
          <w:rFonts w:hint="eastAsia"/>
          <w:color w:val="000000" w:themeColor="text1"/>
          <w:sz w:val="24"/>
        </w:rPr>
        <w:t>日前将发票交给需方，供方在每月</w:t>
      </w:r>
      <w:r>
        <w:rPr>
          <w:color w:val="000000" w:themeColor="text1"/>
          <w:sz w:val="24"/>
        </w:rPr>
        <w:t>25</w:t>
      </w:r>
      <w:r>
        <w:rPr>
          <w:rFonts w:hint="eastAsia"/>
          <w:color w:val="000000" w:themeColor="text1"/>
          <w:sz w:val="24"/>
        </w:rPr>
        <w:t>日以后向需方提供的发票由需方在下月入帐（以需方收到发票日期为准），</w:t>
      </w:r>
      <w:r>
        <w:rPr>
          <w:rFonts w:hint="eastAsia"/>
          <w:color w:val="0000FF"/>
          <w:sz w:val="24"/>
        </w:rPr>
        <w:t>需方收到供方出具的含</w:t>
      </w:r>
      <w:r>
        <w:rPr>
          <w:color w:val="0000FF"/>
          <w:sz w:val="24"/>
        </w:rPr>
        <w:t>1</w:t>
      </w:r>
      <w:r>
        <w:rPr>
          <w:rFonts w:hint="eastAsia"/>
          <w:color w:val="0000FF"/>
          <w:sz w:val="24"/>
        </w:rPr>
        <w:t>3</w:t>
      </w:r>
      <w:r>
        <w:rPr>
          <w:color w:val="0000FF"/>
          <w:sz w:val="24"/>
        </w:rPr>
        <w:t>%</w:t>
      </w:r>
      <w:r>
        <w:rPr>
          <w:rFonts w:hint="eastAsia"/>
          <w:color w:val="0000FF"/>
          <w:sz w:val="24"/>
        </w:rPr>
        <w:t>增值税发票30天</w:t>
      </w:r>
      <w:bookmarkStart w:id="17" w:name="_GoBack"/>
      <w:bookmarkEnd w:id="17"/>
      <w:r>
        <w:rPr>
          <w:rFonts w:hint="eastAsia"/>
          <w:color w:val="0000FF"/>
          <w:sz w:val="24"/>
        </w:rPr>
        <w:t>付款。</w:t>
      </w:r>
      <w:r>
        <w:rPr>
          <w:rFonts w:hint="eastAsia"/>
          <w:color w:val="000000" w:themeColor="text1"/>
          <w:sz w:val="24"/>
        </w:rPr>
        <w:t>当国家增值税率调整时，含税价格按以下公式计算：未税价</w:t>
      </w:r>
      <w:r>
        <w:rPr>
          <w:rFonts w:hint="eastAsia" w:ascii="宋体" w:hAnsi="宋体"/>
          <w:color w:val="000000" w:themeColor="text1"/>
          <w:sz w:val="24"/>
        </w:rPr>
        <w:t>*</w:t>
      </w:r>
      <w:r>
        <w:rPr>
          <w:rFonts w:hint="eastAsia"/>
          <w:color w:val="000000" w:themeColor="text1"/>
          <w:sz w:val="24"/>
        </w:rPr>
        <w:t>(1+调整后增值税率)</w:t>
      </w:r>
    </w:p>
    <w:p>
      <w:pPr>
        <w:spacing w:line="400" w:lineRule="exact"/>
        <w:ind w:firstLine="480" w:firstLineChars="200"/>
        <w:rPr>
          <w:rFonts w:ascii="宋体"/>
          <w:color w:val="000000" w:themeColor="text1"/>
          <w:sz w:val="24"/>
        </w:rPr>
      </w:pPr>
      <w:r>
        <w:rPr>
          <w:color w:val="000000" w:themeColor="text1"/>
          <w:sz w:val="24"/>
        </w:rPr>
        <w:t>3</w:t>
      </w:r>
      <w:r>
        <w:rPr>
          <w:rFonts w:hint="eastAsia"/>
          <w:color w:val="000000" w:themeColor="text1"/>
          <w:sz w:val="24"/>
        </w:rPr>
        <w:t>、支付方式</w:t>
      </w:r>
      <w:r>
        <w:rPr>
          <w:rFonts w:hint="eastAsia" w:ascii="宋体" w:hAnsi="宋体"/>
          <w:color w:val="000000" w:themeColor="text1"/>
          <w:sz w:val="24"/>
        </w:rPr>
        <w:t>经供需双方协商一致，采用：电汇</w:t>
      </w:r>
      <w:r>
        <w:rPr>
          <w:rFonts w:hint="eastAsia" w:ascii="宋体" w:hAnsi="宋体"/>
          <w:color w:val="000000" w:themeColor="text1"/>
          <w:sz w:val="24"/>
          <w:u w:val="single"/>
        </w:rPr>
        <w:t>√</w:t>
      </w:r>
      <w:r>
        <w:rPr>
          <w:rFonts w:hint="eastAsia" w:ascii="宋体" w:hAnsi="宋体"/>
          <w:color w:val="000000" w:themeColor="text1"/>
          <w:sz w:val="24"/>
        </w:rPr>
        <w:t>支票</w:t>
      </w:r>
      <w:r>
        <w:rPr>
          <w:rFonts w:hint="eastAsia" w:ascii="宋体" w:hAnsi="宋体"/>
          <w:color w:val="000000" w:themeColor="text1"/>
          <w:sz w:val="24"/>
          <w:u w:val="single"/>
        </w:rPr>
        <w:t>×</w:t>
      </w:r>
      <w:r>
        <w:rPr>
          <w:rFonts w:hint="eastAsia" w:ascii="宋体" w:hAnsi="宋体"/>
          <w:color w:val="000000" w:themeColor="text1"/>
          <w:sz w:val="24"/>
        </w:rPr>
        <w:t>承兑汇票</w:t>
      </w:r>
      <w:r>
        <w:rPr>
          <w:rFonts w:hint="eastAsia" w:ascii="宋体" w:hAnsi="宋体"/>
          <w:color w:val="000000" w:themeColor="text1"/>
          <w:sz w:val="24"/>
          <w:u w:val="single"/>
        </w:rPr>
        <w:t>√</w:t>
      </w:r>
      <w:r>
        <w:rPr>
          <w:rFonts w:hint="eastAsia" w:ascii="宋体" w:hAnsi="宋体"/>
          <w:color w:val="000000" w:themeColor="text1"/>
          <w:sz w:val="24"/>
        </w:rPr>
        <w:t>其他</w:t>
      </w:r>
      <w:r>
        <w:rPr>
          <w:rFonts w:hint="eastAsia" w:ascii="宋体" w:hAnsi="宋体"/>
          <w:color w:val="000000" w:themeColor="text1"/>
          <w:sz w:val="24"/>
          <w:u w:val="single"/>
        </w:rPr>
        <w:t>×</w:t>
      </w:r>
      <w:r>
        <w:rPr>
          <w:rFonts w:hint="eastAsia" w:ascii="宋体" w:hAnsi="宋体"/>
          <w:color w:val="000000" w:themeColor="text1"/>
          <w:sz w:val="24"/>
        </w:rPr>
        <w:t>（选定请用“√”，否定请用“×”）方式进行货款结算。</w:t>
      </w:r>
    </w:p>
    <w:p>
      <w:pPr>
        <w:spacing w:line="360" w:lineRule="auto"/>
        <w:rPr>
          <w:color w:val="000000" w:themeColor="text1"/>
          <w:sz w:val="24"/>
        </w:rPr>
      </w:pPr>
      <w:r>
        <w:rPr>
          <w:rFonts w:hint="eastAsia"/>
          <w:color w:val="000000" w:themeColor="text1"/>
          <w:sz w:val="24"/>
        </w:rPr>
        <w:t>供方合同账号如下：</w:t>
      </w:r>
    </w:p>
    <w:p>
      <w:pPr>
        <w:spacing w:line="360" w:lineRule="auto"/>
        <w:rPr>
          <w:color w:val="000000" w:themeColor="text1"/>
          <w:sz w:val="24"/>
        </w:rPr>
      </w:pPr>
      <w:r>
        <w:rPr>
          <w:rFonts w:hint="eastAsia"/>
          <w:color w:val="000000" w:themeColor="text1"/>
          <w:sz w:val="24"/>
        </w:rPr>
        <w:t>账户名称：河北光华荣昌汽车部件有限公司</w:t>
      </w:r>
    </w:p>
    <w:p>
      <w:pPr>
        <w:spacing w:line="360" w:lineRule="auto"/>
        <w:rPr>
          <w:color w:val="000000" w:themeColor="text1"/>
          <w:sz w:val="24"/>
        </w:rPr>
      </w:pPr>
      <w:r>
        <w:rPr>
          <w:rFonts w:hint="eastAsia"/>
          <w:color w:val="000000" w:themeColor="text1"/>
          <w:sz w:val="24"/>
        </w:rPr>
        <w:t>开户银行：河北黄骅农村商业银行股份有限公司营业部</w:t>
      </w:r>
    </w:p>
    <w:p>
      <w:pPr>
        <w:spacing w:line="360" w:lineRule="auto"/>
        <w:rPr>
          <w:color w:val="000000" w:themeColor="text1"/>
          <w:sz w:val="24"/>
        </w:rPr>
      </w:pPr>
      <w:r>
        <w:rPr>
          <w:rFonts w:hint="eastAsia"/>
          <w:color w:val="000000" w:themeColor="text1"/>
          <w:sz w:val="24"/>
        </w:rPr>
        <w:t>银行账号：276260122000069725</w:t>
      </w:r>
    </w:p>
    <w:p>
      <w:pPr>
        <w:spacing w:line="360" w:lineRule="auto"/>
        <w:ind w:firstLine="480" w:firstLineChars="200"/>
        <w:rPr>
          <w:rFonts w:ascii="宋体"/>
          <w:color w:val="000000" w:themeColor="text1"/>
          <w:kern w:val="0"/>
          <w:sz w:val="24"/>
        </w:rPr>
      </w:pPr>
      <w:r>
        <w:rPr>
          <w:rFonts w:hint="eastAsia" w:ascii="宋体" w:hAnsi="宋体"/>
          <w:color w:val="000000" w:themeColor="text1"/>
          <w:kern w:val="0"/>
          <w:sz w:val="24"/>
        </w:rPr>
        <w:t>供方提供的上述开户银行、账户名称、账号如有变更，应在合同规定的付款期限前二十天内以书面方式通知需方且须得到需方确认，如未按时通知、通知有误或未得到需方确认而影响结算者，供方应负逾期付款的责任。</w:t>
      </w:r>
    </w:p>
    <w:p>
      <w:pPr>
        <w:widowControl/>
        <w:spacing w:line="360" w:lineRule="auto"/>
        <w:textAlignment w:val="baseline"/>
        <w:rPr>
          <w:color w:val="000000" w:themeColor="text1"/>
          <w:sz w:val="24"/>
        </w:rPr>
      </w:pPr>
      <w:r>
        <w:rPr>
          <w:rFonts w:hint="eastAsia"/>
          <w:color w:val="000000" w:themeColor="text1"/>
          <w:sz w:val="24"/>
        </w:rPr>
        <w:t>六、验收</w:t>
      </w:r>
    </w:p>
    <w:p>
      <w:pPr>
        <w:widowControl/>
        <w:spacing w:line="360" w:lineRule="auto"/>
        <w:ind w:firstLine="480" w:firstLineChars="200"/>
        <w:rPr>
          <w:rFonts w:ascii="宋体"/>
          <w:color w:val="000000" w:themeColor="text1"/>
          <w:kern w:val="0"/>
          <w:sz w:val="24"/>
        </w:rPr>
      </w:pPr>
      <w:r>
        <w:rPr>
          <w:rFonts w:hint="eastAsia" w:ascii="宋体" w:hAnsi="宋体"/>
          <w:color w:val="000000" w:themeColor="text1"/>
          <w:kern w:val="0"/>
          <w:sz w:val="24"/>
        </w:rPr>
        <w:t>本合同所有产品运抵需方工厂后，需方检验。如发现短缺，应由供方负责补足，其相关费用由供方负担，同时交货期不变。若采购产品到货检验存在任何缺陷，则应根据本合同如下约定处理。</w:t>
      </w:r>
    </w:p>
    <w:p>
      <w:pPr>
        <w:spacing w:line="400" w:lineRule="exact"/>
        <w:ind w:firstLine="480" w:firstLineChars="200"/>
        <w:rPr>
          <w:rFonts w:ascii="宋体"/>
          <w:color w:val="000000" w:themeColor="text1"/>
          <w:kern w:val="0"/>
          <w:sz w:val="24"/>
        </w:rPr>
      </w:pPr>
      <w:r>
        <w:rPr>
          <w:rFonts w:ascii="宋体" w:hAnsi="宋体"/>
          <w:color w:val="000000" w:themeColor="text1"/>
          <w:sz w:val="24"/>
        </w:rPr>
        <w:t>1</w:t>
      </w:r>
      <w:r>
        <w:rPr>
          <w:rFonts w:hint="eastAsia" w:ascii="宋体" w:hAnsi="宋体"/>
          <w:color w:val="000000" w:themeColor="text1"/>
          <w:sz w:val="24"/>
        </w:rPr>
        <w:t>、需方有权将采购订单中规定数量以外的配套零部件退回给供方，由此产生的包装、装卸、运输费用及风险等由供方自行承担。</w:t>
      </w:r>
    </w:p>
    <w:p>
      <w:pPr>
        <w:widowControl/>
        <w:spacing w:line="360" w:lineRule="auto"/>
        <w:ind w:firstLine="480" w:firstLineChars="200"/>
        <w:textAlignment w:val="baseline"/>
        <w:rPr>
          <w:rFonts w:ascii="宋体"/>
          <w:color w:val="000000" w:themeColor="text1"/>
          <w:kern w:val="0"/>
          <w:sz w:val="24"/>
        </w:rPr>
      </w:pPr>
      <w:r>
        <w:rPr>
          <w:rFonts w:ascii="宋体" w:hAnsi="宋体"/>
          <w:color w:val="000000" w:themeColor="text1"/>
          <w:kern w:val="0"/>
          <w:sz w:val="24"/>
        </w:rPr>
        <w:t>2</w:t>
      </w:r>
      <w:r>
        <w:rPr>
          <w:rFonts w:hint="eastAsia" w:ascii="宋体" w:hAnsi="宋体"/>
          <w:color w:val="000000" w:themeColor="text1"/>
          <w:kern w:val="0"/>
          <w:sz w:val="24"/>
        </w:rPr>
        <w:t>、把存在缺陷的采购产品退还供方，供方承担退货所产生的所有费用并赔偿需方因此遭受的一切损失；</w:t>
      </w:r>
    </w:p>
    <w:p>
      <w:pPr>
        <w:widowControl/>
        <w:spacing w:line="360" w:lineRule="auto"/>
        <w:ind w:firstLine="480" w:firstLineChars="200"/>
        <w:textAlignment w:val="baseline"/>
        <w:rPr>
          <w:rFonts w:ascii="宋体"/>
          <w:color w:val="000000" w:themeColor="text1"/>
          <w:kern w:val="0"/>
          <w:sz w:val="24"/>
        </w:rPr>
      </w:pPr>
      <w:r>
        <w:rPr>
          <w:rFonts w:ascii="宋体" w:hAnsi="宋体"/>
          <w:color w:val="000000" w:themeColor="text1"/>
          <w:kern w:val="0"/>
          <w:sz w:val="24"/>
        </w:rPr>
        <w:t>3</w:t>
      </w:r>
      <w:r>
        <w:rPr>
          <w:rFonts w:hint="eastAsia" w:ascii="宋体" w:hAnsi="宋体"/>
          <w:color w:val="000000" w:themeColor="text1"/>
          <w:kern w:val="0"/>
          <w:sz w:val="24"/>
        </w:rPr>
        <w:t>、要求供方更换存在缺陷的采购产品，并要求供方承担因采购产品更换所产生的一切费用及损失（包括但不限于运输费、装卸费、保险费以及经营延误损失）；</w:t>
      </w:r>
    </w:p>
    <w:p>
      <w:pPr>
        <w:widowControl/>
        <w:spacing w:line="360" w:lineRule="auto"/>
        <w:ind w:firstLine="480" w:firstLineChars="200"/>
        <w:textAlignment w:val="baseline"/>
        <w:rPr>
          <w:rFonts w:ascii="宋体"/>
          <w:color w:val="000000" w:themeColor="text1"/>
          <w:kern w:val="0"/>
          <w:sz w:val="24"/>
        </w:rPr>
      </w:pPr>
      <w:r>
        <w:rPr>
          <w:rFonts w:ascii="宋体" w:hAnsi="宋体"/>
          <w:color w:val="000000" w:themeColor="text1"/>
          <w:kern w:val="0"/>
          <w:sz w:val="24"/>
        </w:rPr>
        <w:t>4</w:t>
      </w:r>
      <w:r>
        <w:rPr>
          <w:rFonts w:hint="eastAsia" w:ascii="宋体" w:hAnsi="宋体"/>
          <w:color w:val="000000" w:themeColor="text1"/>
          <w:kern w:val="0"/>
          <w:sz w:val="24"/>
        </w:rPr>
        <w:t>、采购产品仅存在一些轻微的缺陷，可要求供方修复存在缺陷的采购产品但产品价格应当相应减少。</w:t>
      </w:r>
    </w:p>
    <w:p>
      <w:pPr>
        <w:widowControl/>
        <w:spacing w:line="360" w:lineRule="auto"/>
        <w:ind w:firstLine="480" w:firstLineChars="200"/>
        <w:rPr>
          <w:rFonts w:ascii="宋体"/>
          <w:color w:val="000000" w:themeColor="text1"/>
          <w:kern w:val="0"/>
          <w:sz w:val="24"/>
        </w:rPr>
      </w:pPr>
      <w:r>
        <w:rPr>
          <w:rFonts w:ascii="宋体" w:hAnsi="宋体"/>
          <w:color w:val="000000" w:themeColor="text1"/>
          <w:kern w:val="0"/>
          <w:sz w:val="24"/>
        </w:rPr>
        <w:t>5</w:t>
      </w:r>
      <w:r>
        <w:rPr>
          <w:rFonts w:hint="eastAsia" w:ascii="宋体" w:hAnsi="宋体"/>
          <w:color w:val="000000" w:themeColor="text1"/>
          <w:kern w:val="0"/>
          <w:sz w:val="24"/>
        </w:rPr>
        <w:t>、按相关国家标准、本合同约定及《技术协议》《质量保证协议》约定进行验收，供方随货提供产品质量检验报告。</w:t>
      </w:r>
    </w:p>
    <w:p>
      <w:pPr>
        <w:spacing w:line="360" w:lineRule="auto"/>
        <w:ind w:firstLine="480" w:firstLineChars="200"/>
        <w:rPr>
          <w:color w:val="000000" w:themeColor="text1"/>
          <w:sz w:val="24"/>
        </w:rPr>
      </w:pPr>
      <w:r>
        <w:rPr>
          <w:rFonts w:ascii="宋体" w:hAnsi="宋体"/>
          <w:color w:val="000000" w:themeColor="text1"/>
          <w:kern w:val="0"/>
          <w:sz w:val="24"/>
        </w:rPr>
        <w:t>6</w:t>
      </w:r>
      <w:r>
        <w:rPr>
          <w:rFonts w:hint="eastAsia" w:ascii="宋体" w:hAnsi="宋体"/>
          <w:color w:val="000000" w:themeColor="text1"/>
          <w:kern w:val="0"/>
          <w:sz w:val="24"/>
        </w:rPr>
        <w:t>、当所有的采购产品都通过需方的验收后，采购产品正式交付给需方。</w:t>
      </w:r>
    </w:p>
    <w:p>
      <w:pPr>
        <w:spacing w:line="360" w:lineRule="auto"/>
        <w:rPr>
          <w:color w:val="000000" w:themeColor="text1"/>
          <w:sz w:val="24"/>
        </w:rPr>
      </w:pPr>
      <w:r>
        <w:rPr>
          <w:rFonts w:hint="eastAsia"/>
          <w:color w:val="000000" w:themeColor="text1"/>
          <w:sz w:val="24"/>
        </w:rPr>
        <w:t xml:space="preserve">七、订单及产能      </w:t>
      </w:r>
    </w:p>
    <w:p>
      <w:pPr>
        <w:spacing w:line="360" w:lineRule="auto"/>
        <w:ind w:firstLine="480" w:firstLineChars="200"/>
        <w:rPr>
          <w:color w:val="000000" w:themeColor="text1"/>
          <w:sz w:val="24"/>
        </w:rPr>
      </w:pPr>
      <w:r>
        <w:rPr>
          <w:color w:val="000000" w:themeColor="text1"/>
          <w:sz w:val="24"/>
        </w:rPr>
        <w:t>1</w:t>
      </w:r>
      <w:r>
        <w:rPr>
          <w:rFonts w:hint="eastAsia"/>
          <w:color w:val="000000" w:themeColor="text1"/>
          <w:sz w:val="24"/>
        </w:rPr>
        <w:t>、需方在每月月底或次月初将以传真或电子邮件方式通知供方下月或当月的供货计划，为月度指导性计划，另外根据市场需求，</w:t>
      </w:r>
      <w:r>
        <w:rPr>
          <w:rFonts w:hint="eastAsia" w:ascii="宋体" w:hAnsi="宋体"/>
          <w:color w:val="000000" w:themeColor="text1"/>
          <w:sz w:val="24"/>
        </w:rPr>
        <w:t>供方每月的供货数量与交货日期由需方以书面形式或电子邮件形式（采购订单）</w:t>
      </w:r>
      <w:r>
        <w:rPr>
          <w:rFonts w:hint="eastAsia" w:ascii="宋体" w:hAnsi="宋体"/>
          <w:color w:val="0000FF"/>
          <w:sz w:val="24"/>
        </w:rPr>
        <w:t>提前</w:t>
      </w:r>
      <w:r>
        <w:rPr>
          <w:rFonts w:ascii="宋体" w:hAnsi="宋体"/>
          <w:color w:val="0000FF"/>
          <w:sz w:val="24"/>
          <w:u w:val="single"/>
        </w:rPr>
        <w:t>_</w:t>
      </w:r>
      <w:r>
        <w:rPr>
          <w:rFonts w:hint="eastAsia" w:ascii="宋体" w:hAnsi="宋体"/>
          <w:color w:val="0000FF"/>
          <w:sz w:val="24"/>
          <w:u w:val="single"/>
        </w:rPr>
        <w:t xml:space="preserve">15 </w:t>
      </w:r>
      <w:r>
        <w:rPr>
          <w:rFonts w:ascii="宋体" w:hAnsi="宋体"/>
          <w:color w:val="0000FF"/>
          <w:sz w:val="24"/>
          <w:u w:val="single"/>
        </w:rPr>
        <w:t>_</w:t>
      </w:r>
      <w:r>
        <w:rPr>
          <w:rFonts w:hint="eastAsia" w:ascii="宋体" w:hAnsi="宋体"/>
          <w:color w:val="0000FF"/>
          <w:sz w:val="24"/>
        </w:rPr>
        <w:t>日通知供方，</w:t>
      </w:r>
      <w:r>
        <w:rPr>
          <w:rFonts w:hint="eastAsia"/>
          <w:color w:val="000000" w:themeColor="text1"/>
          <w:sz w:val="24"/>
        </w:rPr>
        <w:t>供方应以需方的供货计划要求日期作为供货依据。</w:t>
      </w:r>
    </w:p>
    <w:p>
      <w:pPr>
        <w:spacing w:line="360" w:lineRule="auto"/>
        <w:ind w:firstLine="480" w:firstLineChars="200"/>
        <w:rPr>
          <w:rFonts w:ascii="宋体"/>
          <w:color w:val="000000" w:themeColor="text1"/>
          <w:sz w:val="24"/>
        </w:rPr>
      </w:pPr>
      <w:r>
        <w:rPr>
          <w:color w:val="000000" w:themeColor="text1"/>
          <w:sz w:val="24"/>
        </w:rPr>
        <w:t>2</w:t>
      </w:r>
      <w:r>
        <w:rPr>
          <w:rFonts w:hint="eastAsia"/>
          <w:color w:val="000000" w:themeColor="text1"/>
          <w:sz w:val="24"/>
        </w:rPr>
        <w:t>、供方应根据需方要求，储备相应数量的安全库存，以备需方生产计划调整时应急发货，如因供方未按照约定库存需方所需货物，给需方生产造成直接和间接损失的，由供方承担。</w:t>
      </w:r>
    </w:p>
    <w:p>
      <w:pPr>
        <w:spacing w:line="360" w:lineRule="auto"/>
        <w:ind w:firstLine="480" w:firstLineChars="200"/>
        <w:rPr>
          <w:color w:val="000000" w:themeColor="text1"/>
          <w:sz w:val="24"/>
        </w:rPr>
      </w:pPr>
      <w:r>
        <w:rPr>
          <w:color w:val="000000" w:themeColor="text1"/>
          <w:sz w:val="24"/>
        </w:rPr>
        <w:t>3</w:t>
      </w:r>
      <w:r>
        <w:rPr>
          <w:rFonts w:hint="eastAsia"/>
          <w:color w:val="000000" w:themeColor="text1"/>
          <w:sz w:val="24"/>
        </w:rPr>
        <w:t>、如供方由于生产、技术等正当原因，不能满足需方的供货计划或要求停止供货时，须提前三个月书面通知需方，并经需方同意批准，如因供方未与需方协商、书面通知需方，给需方造成的直接损失和间接损失，由供方承担。</w:t>
      </w:r>
    </w:p>
    <w:p>
      <w:pPr>
        <w:spacing w:line="360" w:lineRule="auto"/>
        <w:rPr>
          <w:color w:val="000000" w:themeColor="text1"/>
          <w:sz w:val="24"/>
        </w:rPr>
      </w:pPr>
      <w:r>
        <w:rPr>
          <w:rFonts w:hint="eastAsia"/>
          <w:color w:val="000000" w:themeColor="text1"/>
          <w:sz w:val="24"/>
        </w:rPr>
        <w:t>八、知识产权</w:t>
      </w:r>
    </w:p>
    <w:p>
      <w:pPr>
        <w:spacing w:line="360" w:lineRule="auto"/>
        <w:ind w:firstLine="480" w:firstLineChars="200"/>
        <w:rPr>
          <w:color w:val="000000" w:themeColor="text1"/>
          <w:sz w:val="24"/>
        </w:rPr>
      </w:pPr>
      <w:r>
        <w:rPr>
          <w:color w:val="000000" w:themeColor="text1"/>
          <w:sz w:val="24"/>
        </w:rPr>
        <w:t>1</w:t>
      </w:r>
      <w:r>
        <w:rPr>
          <w:rFonts w:hint="eastAsia"/>
          <w:color w:val="000000" w:themeColor="text1"/>
          <w:sz w:val="24"/>
        </w:rPr>
        <w:t>、供需双方合作期间，供方可以使用需方的数模、图纸、样件等专用技术，该等专用技术详见供需双方签订的《技术协议》，供方应予以保密和妥善保管，未经需方书面同意，供方不得提供给第三方。如供方违反规定，给需方造成损失的，应当赔偿需方由此产生的直接和间接经济损失。</w:t>
      </w:r>
    </w:p>
    <w:p>
      <w:pPr>
        <w:spacing w:line="360" w:lineRule="auto"/>
        <w:ind w:firstLine="480" w:firstLineChars="200"/>
        <w:rPr>
          <w:color w:val="000000" w:themeColor="text1"/>
          <w:sz w:val="24"/>
        </w:rPr>
      </w:pPr>
      <w:r>
        <w:rPr>
          <w:color w:val="000000" w:themeColor="text1"/>
          <w:sz w:val="24"/>
        </w:rPr>
        <w:t>2</w:t>
      </w:r>
      <w:r>
        <w:rPr>
          <w:rFonts w:hint="eastAsia"/>
          <w:color w:val="000000" w:themeColor="text1"/>
          <w:sz w:val="24"/>
        </w:rPr>
        <w:t>、供方必须保证所供产品不涉及侵权问题，如果供方所供产品侵犯第三方知识产权，导致第三方向需方索赔或引起其他法律纠纷的，由供方承担全部赔偿责任，并承担由此产生的所有费用。</w:t>
      </w:r>
    </w:p>
    <w:p>
      <w:pPr>
        <w:spacing w:line="360" w:lineRule="auto"/>
        <w:ind w:firstLine="480" w:firstLineChars="200"/>
        <w:rPr>
          <w:color w:val="000000" w:themeColor="text1"/>
          <w:sz w:val="24"/>
        </w:rPr>
      </w:pPr>
      <w:r>
        <w:rPr>
          <w:rFonts w:ascii="宋体" w:hAnsi="宋体"/>
          <w:color w:val="000000" w:themeColor="text1"/>
          <w:kern w:val="0"/>
          <w:sz w:val="24"/>
        </w:rPr>
        <w:t>3</w:t>
      </w:r>
      <w:r>
        <w:rPr>
          <w:rFonts w:hint="eastAsia" w:ascii="宋体" w:hAnsi="宋体"/>
          <w:color w:val="000000" w:themeColor="text1"/>
          <w:kern w:val="0"/>
          <w:sz w:val="24"/>
        </w:rPr>
        <w:t>、供方同意对于履行合同所知悉或持有的需方机密信息，尽保密义务，非经需方事前书面同意不得泄漏或交付予第三人。否则，供方应赔偿需方全部损失，并支付违约金人民币十万元。</w:t>
      </w:r>
    </w:p>
    <w:p>
      <w:pPr>
        <w:spacing w:line="360" w:lineRule="auto"/>
        <w:rPr>
          <w:color w:val="000000" w:themeColor="text1"/>
          <w:sz w:val="24"/>
        </w:rPr>
      </w:pPr>
      <w:r>
        <w:rPr>
          <w:rFonts w:hint="eastAsia"/>
          <w:color w:val="000000" w:themeColor="text1"/>
          <w:sz w:val="24"/>
        </w:rPr>
        <w:t>九、质量和售后条款</w:t>
      </w:r>
    </w:p>
    <w:p>
      <w:pPr>
        <w:spacing w:line="360" w:lineRule="auto"/>
        <w:ind w:firstLine="480" w:firstLineChars="200"/>
        <w:rPr>
          <w:color w:val="000000" w:themeColor="text1"/>
          <w:sz w:val="24"/>
        </w:rPr>
      </w:pPr>
      <w:r>
        <w:rPr>
          <w:color w:val="000000" w:themeColor="text1"/>
          <w:sz w:val="24"/>
        </w:rPr>
        <w:t>1</w:t>
      </w:r>
      <w:r>
        <w:rPr>
          <w:rFonts w:hint="eastAsia"/>
          <w:color w:val="000000" w:themeColor="text1"/>
          <w:sz w:val="24"/>
        </w:rPr>
        <w:t>、供方必须保证其所供产品质量符合法律法规和需方的技术文件等验收标准要求，该等验收标准要求详见附件质量保证协议，当供方所供产品出现不合格时，需方视其影响程度有权采取要求供方退货且限期整改或降低供货比例，暂停供货、取消供货资格等措施，并且供方根据需方的损失进行赔偿。</w:t>
      </w:r>
    </w:p>
    <w:p>
      <w:pPr>
        <w:spacing w:line="360" w:lineRule="auto"/>
        <w:ind w:firstLine="480" w:firstLineChars="200"/>
        <w:rPr>
          <w:color w:val="000000" w:themeColor="text1"/>
          <w:sz w:val="24"/>
        </w:rPr>
      </w:pPr>
      <w:r>
        <w:rPr>
          <w:color w:val="000000" w:themeColor="text1"/>
          <w:sz w:val="24"/>
        </w:rPr>
        <w:t>2</w:t>
      </w:r>
      <w:r>
        <w:rPr>
          <w:rFonts w:hint="eastAsia"/>
          <w:color w:val="000000" w:themeColor="text1"/>
          <w:sz w:val="24"/>
        </w:rPr>
        <w:t>、需方生产过程中发现供方所供产品的质量问题由供方服务人员负责处理。产品售出后，供方委托需方对其配套产品进行保修服务，并承担保修服务所产生的费用，其它按照附件质量保证协议规定执行。</w:t>
      </w:r>
    </w:p>
    <w:p>
      <w:pPr>
        <w:widowControl/>
        <w:spacing w:line="360" w:lineRule="auto"/>
        <w:ind w:firstLine="480" w:firstLineChars="200"/>
        <w:rPr>
          <w:rFonts w:ascii="宋体"/>
          <w:color w:val="000000" w:themeColor="text1"/>
          <w:kern w:val="0"/>
          <w:sz w:val="24"/>
        </w:rPr>
      </w:pPr>
      <w:r>
        <w:rPr>
          <w:rFonts w:ascii="宋体" w:hAnsi="宋体"/>
          <w:color w:val="000000" w:themeColor="text1"/>
          <w:kern w:val="0"/>
          <w:sz w:val="24"/>
        </w:rPr>
        <w:t>3</w:t>
      </w:r>
      <w:r>
        <w:rPr>
          <w:rFonts w:hint="eastAsia" w:ascii="宋体" w:hAnsi="宋体"/>
          <w:color w:val="000000" w:themeColor="text1"/>
          <w:kern w:val="0"/>
          <w:sz w:val="24"/>
        </w:rPr>
        <w:t>、供方保证所提供产品是全新的，其质量、规格和性能与本合同及附件规定相符，</w:t>
      </w:r>
      <w:r>
        <w:rPr>
          <w:rFonts w:hint="eastAsia" w:ascii="宋体" w:hAnsi="宋体"/>
          <w:color w:val="000000" w:themeColor="text1"/>
          <w:sz w:val="24"/>
        </w:rPr>
        <w:t>并具有相应的专业程度及供方保证的品质，</w:t>
      </w:r>
      <w:r>
        <w:rPr>
          <w:rFonts w:hint="eastAsia" w:ascii="宋体" w:hAnsi="宋体"/>
          <w:color w:val="000000" w:themeColor="text1"/>
          <w:kern w:val="0"/>
          <w:sz w:val="24"/>
        </w:rPr>
        <w:t>也符合厂商及中国国内行业质量标准。若需方对产品质量有特殊要求的，供方应保证产品符合需方特殊之要求。</w:t>
      </w:r>
    </w:p>
    <w:p>
      <w:pPr>
        <w:widowControl/>
        <w:spacing w:line="360" w:lineRule="auto"/>
        <w:ind w:firstLine="480" w:firstLineChars="200"/>
        <w:rPr>
          <w:rFonts w:ascii="宋体"/>
          <w:color w:val="000000" w:themeColor="text1"/>
          <w:kern w:val="0"/>
          <w:sz w:val="24"/>
        </w:rPr>
      </w:pPr>
      <w:r>
        <w:rPr>
          <w:rFonts w:ascii="宋体" w:hAnsi="宋体"/>
          <w:color w:val="000000" w:themeColor="text1"/>
          <w:kern w:val="0"/>
          <w:sz w:val="24"/>
        </w:rPr>
        <w:t>4</w:t>
      </w:r>
      <w:r>
        <w:rPr>
          <w:rFonts w:hint="eastAsia" w:ascii="宋体" w:hAnsi="宋体"/>
          <w:color w:val="000000" w:themeColor="text1"/>
          <w:kern w:val="0"/>
          <w:sz w:val="24"/>
        </w:rPr>
        <w:t>、产品质量保证期为自到货验收合格之日起</w:t>
      </w:r>
      <w:r>
        <w:rPr>
          <w:rFonts w:hint="eastAsia" w:ascii="宋体" w:hAnsi="宋体"/>
          <w:color w:val="0000FF"/>
          <w:kern w:val="0"/>
          <w:sz w:val="24"/>
        </w:rPr>
        <w:t xml:space="preserve"> </w:t>
      </w:r>
      <w:r>
        <w:rPr>
          <w:rFonts w:hint="eastAsia" w:ascii="宋体" w:hAnsi="宋体"/>
          <w:color w:val="0000FF"/>
          <w:kern w:val="0"/>
          <w:sz w:val="24"/>
          <w:u w:val="single"/>
        </w:rPr>
        <w:t xml:space="preserve"> 18个月</w:t>
      </w:r>
      <w:r>
        <w:rPr>
          <w:rFonts w:hint="eastAsia" w:ascii="宋体" w:hAnsi="宋体"/>
          <w:color w:val="0000FF"/>
          <w:kern w:val="0"/>
          <w:sz w:val="24"/>
        </w:rPr>
        <w:t>或</w:t>
      </w:r>
      <w:r>
        <w:rPr>
          <w:rFonts w:hint="eastAsia" w:ascii="宋体" w:hAnsi="宋体"/>
          <w:color w:val="0000FF"/>
          <w:kern w:val="0"/>
          <w:sz w:val="24"/>
          <w:u w:val="single"/>
        </w:rPr>
        <w:t xml:space="preserve">  100000 万</w:t>
      </w:r>
      <w:r>
        <w:rPr>
          <w:rFonts w:hint="eastAsia" w:ascii="宋体" w:hAnsi="宋体"/>
          <w:color w:val="0000FF"/>
          <w:kern w:val="0"/>
          <w:sz w:val="24"/>
        </w:rPr>
        <w:t>公里</w:t>
      </w:r>
      <w:r>
        <w:rPr>
          <w:rFonts w:hint="eastAsia" w:ascii="宋体" w:hAnsi="宋体"/>
          <w:color w:val="000000" w:themeColor="text1"/>
          <w:kern w:val="0"/>
          <w:sz w:val="24"/>
        </w:rPr>
        <w:t>以先达者为准。由于商品的程序、原材料等供方原因造成的商品缺陷，需方有权要求更换或退货，并可追究供方的损失赔偿责任。</w:t>
      </w:r>
    </w:p>
    <w:p>
      <w:pPr>
        <w:widowControl/>
        <w:spacing w:line="360" w:lineRule="auto"/>
        <w:ind w:firstLine="480" w:firstLineChars="200"/>
        <w:rPr>
          <w:rFonts w:ascii="宋体"/>
          <w:color w:val="000000" w:themeColor="text1"/>
          <w:kern w:val="0"/>
          <w:sz w:val="24"/>
        </w:rPr>
      </w:pPr>
      <w:r>
        <w:rPr>
          <w:rFonts w:ascii="宋体" w:hAnsi="宋体"/>
          <w:color w:val="000000" w:themeColor="text1"/>
          <w:kern w:val="0"/>
          <w:sz w:val="24"/>
        </w:rPr>
        <w:t>5</w:t>
      </w:r>
      <w:r>
        <w:rPr>
          <w:rFonts w:hint="eastAsia" w:ascii="宋体" w:hAnsi="宋体"/>
          <w:color w:val="000000" w:themeColor="text1"/>
          <w:kern w:val="0"/>
          <w:sz w:val="24"/>
        </w:rPr>
        <w:t>、质保期内，若供方不能或未能</w:t>
      </w:r>
      <w:r>
        <w:rPr>
          <w:rFonts w:hint="eastAsia" w:ascii="宋体" w:hAnsi="宋体"/>
          <w:kern w:val="0"/>
          <w:sz w:val="24"/>
        </w:rPr>
        <w:t>在</w:t>
      </w:r>
      <w:r>
        <w:rPr>
          <w:rFonts w:hint="eastAsia" w:ascii="宋体" w:hAnsi="宋体"/>
          <w:kern w:val="0"/>
          <w:sz w:val="24"/>
          <w:u w:val="single"/>
        </w:rPr>
        <w:t xml:space="preserve"> 72 </w:t>
      </w:r>
      <w:r>
        <w:rPr>
          <w:rFonts w:hint="eastAsia" w:ascii="宋体" w:hAnsi="宋体"/>
          <w:kern w:val="0"/>
          <w:sz w:val="24"/>
        </w:rPr>
        <w:t>小时内向</w:t>
      </w:r>
      <w:r>
        <w:rPr>
          <w:rFonts w:hint="eastAsia" w:ascii="宋体" w:hAnsi="宋体"/>
          <w:color w:val="000000" w:themeColor="text1"/>
          <w:kern w:val="0"/>
          <w:sz w:val="24"/>
        </w:rPr>
        <w:t>需方提供售后维修服务的，需方有权聘请其它单位对采购产品进行维修，由此产生的一切费用由供方承担。</w:t>
      </w:r>
    </w:p>
    <w:p>
      <w:pPr>
        <w:widowControl/>
        <w:spacing w:line="360" w:lineRule="auto"/>
        <w:ind w:firstLine="480" w:firstLineChars="200"/>
        <w:rPr>
          <w:rFonts w:ascii="宋体" w:hAnsi="宋体"/>
          <w:color w:val="000000" w:themeColor="text1"/>
          <w:kern w:val="0"/>
          <w:sz w:val="24"/>
        </w:rPr>
      </w:pPr>
      <w:r>
        <w:rPr>
          <w:rFonts w:ascii="宋体" w:hAnsi="宋体"/>
          <w:color w:val="000000" w:themeColor="text1"/>
          <w:kern w:val="0"/>
          <w:sz w:val="24"/>
        </w:rPr>
        <w:t>6</w:t>
      </w:r>
      <w:r>
        <w:rPr>
          <w:rFonts w:hint="eastAsia" w:ascii="宋体" w:hAnsi="宋体"/>
          <w:color w:val="000000" w:themeColor="text1"/>
          <w:kern w:val="0"/>
          <w:sz w:val="24"/>
        </w:rPr>
        <w:t>、售后条款按照如下约定执行：</w:t>
      </w:r>
    </w:p>
    <w:p>
      <w:pPr>
        <w:widowControl/>
        <w:spacing w:line="360" w:lineRule="auto"/>
        <w:ind w:firstLine="480" w:firstLineChars="200"/>
        <w:rPr>
          <w:rFonts w:ascii="宋体" w:hAnsi="宋体"/>
          <w:color w:val="000000" w:themeColor="text1"/>
          <w:kern w:val="0"/>
          <w:sz w:val="24"/>
        </w:rPr>
      </w:pPr>
      <w:r>
        <w:rPr>
          <w:rFonts w:hint="eastAsia" w:ascii="宋体" w:hAnsi="宋体"/>
          <w:color w:val="000000" w:themeColor="text1"/>
          <w:kern w:val="0"/>
          <w:sz w:val="24"/>
        </w:rPr>
        <w:t>6．1整车“三包”索赔：凡是由需方生产的车辆，用户在三包期内车辆使用过程中，发生的供方产品因制造、装配等缺陷而导致质量故障的，所发生的“三包”费用、退换车损及相关经济损失费用，全部由供方承担。</w:t>
      </w:r>
    </w:p>
    <w:p>
      <w:pPr>
        <w:widowControl/>
        <w:spacing w:line="360" w:lineRule="auto"/>
        <w:ind w:firstLine="480" w:firstLineChars="200"/>
        <w:rPr>
          <w:rFonts w:ascii="宋体" w:hAnsi="宋体"/>
          <w:color w:val="000000" w:themeColor="text1"/>
          <w:kern w:val="0"/>
          <w:sz w:val="24"/>
        </w:rPr>
      </w:pPr>
      <w:r>
        <w:rPr>
          <w:rFonts w:hint="eastAsia" w:ascii="宋体" w:hAnsi="宋体"/>
          <w:color w:val="000000" w:themeColor="text1"/>
          <w:kern w:val="0"/>
          <w:sz w:val="24"/>
        </w:rPr>
        <w:t>6．2在售后市场因供方的配件质量而造成需方产品出现质量问题，供方必须配合需方及时处理，维修费用由供方承担。因供方供货配件存在质量问题而造成供方依法向市场召回整车的，供方应当承担改召回发生的费用。同时，需方保留进一步索赔（如消除需方品牌市场信誉等产生的费用）的权利。</w:t>
      </w:r>
    </w:p>
    <w:p>
      <w:pPr>
        <w:widowControl/>
        <w:spacing w:line="360" w:lineRule="auto"/>
        <w:ind w:firstLine="480" w:firstLineChars="200"/>
        <w:rPr>
          <w:rFonts w:ascii="宋体" w:hAnsi="宋体"/>
          <w:color w:val="000000" w:themeColor="text1"/>
          <w:kern w:val="0"/>
          <w:sz w:val="24"/>
        </w:rPr>
      </w:pPr>
      <w:r>
        <w:rPr>
          <w:rFonts w:hint="eastAsia" w:ascii="宋体" w:hAnsi="宋体"/>
          <w:color w:val="000000" w:themeColor="text1"/>
          <w:kern w:val="0"/>
          <w:sz w:val="24"/>
        </w:rPr>
        <w:t>6.3因供方产品引起索赔，供方应当支付因此造成现场进行抢修所发生的燃油费、拖车费、差旅费等一切相关费用，此费用按照实际发生额计算。</w:t>
      </w:r>
    </w:p>
    <w:p>
      <w:pPr>
        <w:widowControl/>
        <w:spacing w:line="360" w:lineRule="auto"/>
        <w:ind w:firstLine="480" w:firstLineChars="200"/>
        <w:rPr>
          <w:rFonts w:ascii="宋体" w:hAnsi="宋体"/>
          <w:color w:val="000000" w:themeColor="text1"/>
          <w:kern w:val="0"/>
          <w:sz w:val="24"/>
        </w:rPr>
      </w:pPr>
      <w:r>
        <w:rPr>
          <w:rFonts w:hint="eastAsia" w:ascii="宋体" w:hAnsi="宋体"/>
          <w:color w:val="000000" w:themeColor="text1"/>
          <w:kern w:val="0"/>
          <w:sz w:val="24"/>
        </w:rPr>
        <w:t>除上述规定外，售后服务、索赔及售后配件的供应按附件售后配件供应与售后索赔协议中约定执行。</w:t>
      </w:r>
    </w:p>
    <w:p>
      <w:pPr>
        <w:spacing w:line="360" w:lineRule="auto"/>
        <w:rPr>
          <w:color w:val="000000" w:themeColor="text1"/>
          <w:sz w:val="24"/>
        </w:rPr>
      </w:pPr>
      <w:r>
        <w:rPr>
          <w:rFonts w:hint="eastAsia"/>
          <w:color w:val="000000" w:themeColor="text1"/>
          <w:sz w:val="24"/>
        </w:rPr>
        <w:t>十、如供方终止本合同不再向需方供货，必须提前</w:t>
      </w:r>
      <w:r>
        <w:rPr>
          <w:color w:val="000000" w:themeColor="text1"/>
          <w:sz w:val="24"/>
        </w:rPr>
        <w:t>90</w:t>
      </w:r>
      <w:r>
        <w:rPr>
          <w:rFonts w:hint="eastAsia"/>
          <w:color w:val="000000" w:themeColor="text1"/>
          <w:sz w:val="24"/>
        </w:rPr>
        <w:t>天向需方提出，双方协商办理停止供货手续，在停止供货期间，供方继续承担所供产品的后续三包服务，具体见附件售后配件供应与售后索赔协议及相关条款，需方有权暂停支付剩余的货款，供方停止供货一年以后，可向需方申请清户，待需方同意后，在清户后需方在</w:t>
      </w:r>
      <w:r>
        <w:rPr>
          <w:color w:val="000000" w:themeColor="text1"/>
          <w:sz w:val="24"/>
        </w:rPr>
        <w:t>30</w:t>
      </w:r>
      <w:r>
        <w:rPr>
          <w:rFonts w:hint="eastAsia"/>
          <w:color w:val="000000" w:themeColor="text1"/>
          <w:sz w:val="24"/>
        </w:rPr>
        <w:t>天后将剩余的货款及质量保证金（无息）以汇款方式汇入供方合同账号。</w:t>
      </w:r>
    </w:p>
    <w:p>
      <w:pPr>
        <w:spacing w:line="360" w:lineRule="auto"/>
        <w:rPr>
          <w:color w:val="000000" w:themeColor="text1"/>
          <w:sz w:val="24"/>
        </w:rPr>
      </w:pPr>
      <w:r>
        <w:rPr>
          <w:rFonts w:hint="eastAsia"/>
          <w:color w:val="000000" w:themeColor="text1"/>
          <w:sz w:val="24"/>
        </w:rPr>
        <w:t>十一、需方按照本合同或需方相关规定取消供方供货资格后，供方按照本合同第十条执行。</w:t>
      </w:r>
    </w:p>
    <w:p>
      <w:pPr>
        <w:spacing w:line="360" w:lineRule="auto"/>
        <w:rPr>
          <w:color w:val="000000" w:themeColor="text1"/>
          <w:sz w:val="24"/>
        </w:rPr>
      </w:pPr>
      <w:r>
        <w:rPr>
          <w:rFonts w:hint="eastAsia"/>
          <w:color w:val="000000" w:themeColor="text1"/>
          <w:sz w:val="24"/>
        </w:rPr>
        <w:t>十二、违约及赔偿规定</w:t>
      </w:r>
    </w:p>
    <w:p>
      <w:pPr>
        <w:pStyle w:val="15"/>
        <w:spacing w:line="400" w:lineRule="exact"/>
        <w:ind w:firstLine="480"/>
        <w:rPr>
          <w:rFonts w:ascii="宋体"/>
          <w:color w:val="000000" w:themeColor="text1"/>
          <w:sz w:val="24"/>
        </w:rPr>
      </w:pPr>
      <w:r>
        <w:rPr>
          <w:rFonts w:hint="eastAsia" w:ascii="宋体" w:hAnsi="宋体"/>
          <w:color w:val="000000" w:themeColor="text1"/>
          <w:sz w:val="24"/>
        </w:rPr>
        <w:t>1、由于供方原因造成到货不符合需方的质量、数量和时间要求而导致需方的生产现场停线，供方除应赔偿需方的实际损失外，还应按如下标准对需方进行赔偿：停线半小时以内，赔偿</w:t>
      </w:r>
      <w:r>
        <w:rPr>
          <w:rFonts w:ascii="宋体" w:hAnsi="宋体"/>
          <w:color w:val="000000" w:themeColor="text1"/>
          <w:sz w:val="24"/>
        </w:rPr>
        <w:t>1000</w:t>
      </w:r>
      <w:r>
        <w:rPr>
          <w:rFonts w:hint="eastAsia" w:ascii="宋体" w:hAnsi="宋体"/>
          <w:color w:val="000000" w:themeColor="text1"/>
          <w:sz w:val="24"/>
        </w:rPr>
        <w:t>元；停线半小时以上</w:t>
      </w:r>
      <w:r>
        <w:rPr>
          <w:rFonts w:ascii="宋体" w:hAnsi="宋体"/>
          <w:color w:val="000000" w:themeColor="text1"/>
          <w:sz w:val="24"/>
        </w:rPr>
        <w:t>1</w:t>
      </w:r>
      <w:r>
        <w:rPr>
          <w:rFonts w:hint="eastAsia" w:ascii="宋体" w:hAnsi="宋体"/>
          <w:color w:val="000000" w:themeColor="text1"/>
          <w:sz w:val="24"/>
        </w:rPr>
        <w:t>小时以内，赔偿</w:t>
      </w:r>
      <w:r>
        <w:rPr>
          <w:rFonts w:ascii="宋体" w:hAnsi="宋体"/>
          <w:color w:val="000000" w:themeColor="text1"/>
          <w:sz w:val="24"/>
        </w:rPr>
        <w:t>3</w:t>
      </w:r>
      <w:r>
        <w:rPr>
          <w:rFonts w:ascii="宋体"/>
          <w:color w:val="000000" w:themeColor="text1"/>
          <w:sz w:val="24"/>
        </w:rPr>
        <w:t>000</w:t>
      </w:r>
      <w:r>
        <w:rPr>
          <w:rFonts w:hint="eastAsia" w:ascii="宋体" w:hAnsi="宋体"/>
          <w:color w:val="000000" w:themeColor="text1"/>
          <w:sz w:val="24"/>
        </w:rPr>
        <w:t>元；停线</w:t>
      </w:r>
      <w:r>
        <w:rPr>
          <w:rFonts w:ascii="宋体" w:hAnsi="宋体"/>
          <w:color w:val="000000" w:themeColor="text1"/>
          <w:sz w:val="24"/>
        </w:rPr>
        <w:t>1</w:t>
      </w:r>
      <w:r>
        <w:rPr>
          <w:rFonts w:hint="eastAsia" w:ascii="宋体" w:hAnsi="宋体"/>
          <w:color w:val="000000" w:themeColor="text1"/>
          <w:sz w:val="24"/>
        </w:rPr>
        <w:t>小时以上</w:t>
      </w:r>
      <w:r>
        <w:rPr>
          <w:rFonts w:ascii="宋体" w:hAnsi="宋体"/>
          <w:color w:val="000000" w:themeColor="text1"/>
          <w:sz w:val="24"/>
        </w:rPr>
        <w:t>4</w:t>
      </w:r>
      <w:r>
        <w:rPr>
          <w:rFonts w:hint="eastAsia" w:ascii="宋体" w:hAnsi="宋体"/>
          <w:color w:val="000000" w:themeColor="text1"/>
          <w:sz w:val="24"/>
        </w:rPr>
        <w:t>小时以内赔偿</w:t>
      </w:r>
      <w:r>
        <w:rPr>
          <w:rFonts w:ascii="宋体" w:hAnsi="宋体"/>
          <w:color w:val="000000" w:themeColor="text1"/>
          <w:sz w:val="24"/>
        </w:rPr>
        <w:t>8</w:t>
      </w:r>
      <w:r>
        <w:rPr>
          <w:rFonts w:ascii="宋体"/>
          <w:color w:val="000000" w:themeColor="text1"/>
          <w:sz w:val="24"/>
        </w:rPr>
        <w:t>000</w:t>
      </w:r>
      <w:r>
        <w:rPr>
          <w:rFonts w:hint="eastAsia" w:ascii="宋体" w:hAnsi="宋体"/>
          <w:color w:val="000000" w:themeColor="text1"/>
          <w:sz w:val="24"/>
        </w:rPr>
        <w:t>元；停线</w:t>
      </w:r>
      <w:r>
        <w:rPr>
          <w:rFonts w:ascii="宋体" w:hAnsi="宋体"/>
          <w:color w:val="000000" w:themeColor="text1"/>
          <w:sz w:val="24"/>
        </w:rPr>
        <w:t>4</w:t>
      </w:r>
      <w:r>
        <w:rPr>
          <w:rFonts w:hint="eastAsia" w:ascii="宋体" w:hAnsi="宋体"/>
          <w:color w:val="000000" w:themeColor="text1"/>
          <w:sz w:val="24"/>
        </w:rPr>
        <w:t>小时以上</w:t>
      </w:r>
      <w:r>
        <w:rPr>
          <w:rFonts w:ascii="宋体" w:hAnsi="宋体"/>
          <w:color w:val="000000" w:themeColor="text1"/>
          <w:sz w:val="24"/>
        </w:rPr>
        <w:t>8</w:t>
      </w:r>
      <w:r>
        <w:rPr>
          <w:rFonts w:hint="eastAsia" w:ascii="宋体" w:hAnsi="宋体"/>
          <w:color w:val="000000" w:themeColor="text1"/>
          <w:sz w:val="24"/>
        </w:rPr>
        <w:t>小时以内赔偿</w:t>
      </w:r>
      <w:r>
        <w:rPr>
          <w:rFonts w:ascii="宋体" w:hAnsi="宋体"/>
          <w:color w:val="000000" w:themeColor="text1"/>
          <w:sz w:val="24"/>
        </w:rPr>
        <w:t>15</w:t>
      </w:r>
      <w:r>
        <w:rPr>
          <w:rFonts w:ascii="宋体"/>
          <w:color w:val="000000" w:themeColor="text1"/>
          <w:sz w:val="24"/>
        </w:rPr>
        <w:t>000</w:t>
      </w:r>
      <w:r>
        <w:rPr>
          <w:rFonts w:hint="eastAsia" w:ascii="宋体" w:hAnsi="宋体"/>
          <w:color w:val="000000" w:themeColor="text1"/>
          <w:sz w:val="24"/>
        </w:rPr>
        <w:t>元人民币</w:t>
      </w:r>
      <w:r>
        <w:rPr>
          <w:rFonts w:ascii="宋体" w:hAnsi="宋体"/>
          <w:color w:val="000000" w:themeColor="text1"/>
          <w:sz w:val="24"/>
        </w:rPr>
        <w:t xml:space="preserve">, </w:t>
      </w:r>
      <w:r>
        <w:rPr>
          <w:rFonts w:hint="eastAsia" w:ascii="宋体" w:hAnsi="宋体"/>
          <w:color w:val="000000" w:themeColor="text1"/>
          <w:sz w:val="24"/>
        </w:rPr>
        <w:t>停线</w:t>
      </w:r>
      <w:r>
        <w:rPr>
          <w:rFonts w:ascii="宋体" w:hAnsi="宋体"/>
          <w:color w:val="000000" w:themeColor="text1"/>
          <w:sz w:val="24"/>
        </w:rPr>
        <w:t>8</w:t>
      </w:r>
      <w:r>
        <w:rPr>
          <w:rFonts w:hint="eastAsia" w:ascii="宋体" w:hAnsi="宋体"/>
          <w:color w:val="000000" w:themeColor="text1"/>
          <w:sz w:val="24"/>
        </w:rPr>
        <w:t>小时以上赔偿</w:t>
      </w:r>
      <w:r>
        <w:rPr>
          <w:rFonts w:ascii="宋体" w:hAnsi="宋体"/>
          <w:color w:val="000000" w:themeColor="text1"/>
          <w:sz w:val="24"/>
        </w:rPr>
        <w:t>3</w:t>
      </w:r>
      <w:r>
        <w:rPr>
          <w:rFonts w:ascii="宋体"/>
          <w:color w:val="000000" w:themeColor="text1"/>
          <w:sz w:val="24"/>
        </w:rPr>
        <w:t>0000</w:t>
      </w:r>
      <w:r>
        <w:rPr>
          <w:rFonts w:hint="eastAsia" w:ascii="宋体" w:hAnsi="宋体"/>
          <w:color w:val="000000" w:themeColor="text1"/>
          <w:sz w:val="24"/>
        </w:rPr>
        <w:t>元，超过</w:t>
      </w:r>
      <w:r>
        <w:rPr>
          <w:rFonts w:ascii="宋体" w:hAnsi="宋体"/>
          <w:color w:val="000000" w:themeColor="text1"/>
          <w:sz w:val="24"/>
        </w:rPr>
        <w:t>12</w:t>
      </w:r>
      <w:r>
        <w:rPr>
          <w:rFonts w:hint="eastAsia" w:ascii="宋体" w:hAnsi="宋体"/>
          <w:color w:val="000000" w:themeColor="text1"/>
          <w:sz w:val="24"/>
        </w:rPr>
        <w:t>小时后的每小时赔偿</w:t>
      </w:r>
      <w:r>
        <w:rPr>
          <w:rFonts w:ascii="宋体" w:hAnsi="宋体"/>
          <w:color w:val="000000" w:themeColor="text1"/>
          <w:sz w:val="24"/>
        </w:rPr>
        <w:t>5000</w:t>
      </w:r>
      <w:r>
        <w:rPr>
          <w:rFonts w:hint="eastAsia" w:ascii="宋体" w:hAnsi="宋体"/>
          <w:color w:val="000000" w:themeColor="text1"/>
          <w:sz w:val="24"/>
        </w:rPr>
        <w:t>元。</w:t>
      </w:r>
    </w:p>
    <w:p>
      <w:pPr>
        <w:pStyle w:val="15"/>
        <w:spacing w:line="400" w:lineRule="exact"/>
        <w:ind w:firstLine="480"/>
        <w:rPr>
          <w:rFonts w:ascii="宋体"/>
          <w:color w:val="000000" w:themeColor="text1"/>
          <w:sz w:val="24"/>
        </w:rPr>
      </w:pPr>
      <w:r>
        <w:rPr>
          <w:rFonts w:hint="eastAsia" w:ascii="宋体" w:hAnsi="宋体"/>
          <w:color w:val="000000" w:themeColor="text1"/>
          <w:sz w:val="24"/>
        </w:rPr>
        <w:t>2、如因供方原因导致需方停产超过</w:t>
      </w:r>
      <w:r>
        <w:rPr>
          <w:rFonts w:ascii="宋体" w:hAnsi="宋体"/>
          <w:color w:val="000000" w:themeColor="text1"/>
          <w:sz w:val="24"/>
        </w:rPr>
        <w:t>12</w:t>
      </w:r>
      <w:r>
        <w:rPr>
          <w:rFonts w:hint="eastAsia" w:ascii="宋体" w:hAnsi="宋体"/>
          <w:color w:val="000000" w:themeColor="text1"/>
          <w:sz w:val="24"/>
        </w:rPr>
        <w:t>小时，则供方应赔偿需方每小时</w:t>
      </w:r>
      <w:r>
        <w:rPr>
          <w:rFonts w:ascii="宋体" w:hAnsi="宋体"/>
          <w:color w:val="000000" w:themeColor="text1"/>
          <w:sz w:val="24"/>
        </w:rPr>
        <w:t>5000</w:t>
      </w:r>
      <w:r>
        <w:rPr>
          <w:rFonts w:hint="eastAsia" w:ascii="宋体" w:hAnsi="宋体"/>
          <w:color w:val="000000" w:themeColor="text1"/>
          <w:sz w:val="24"/>
        </w:rPr>
        <w:t>元且应当赔偿需方因此造成的直接损失和间接损失。</w:t>
      </w:r>
    </w:p>
    <w:p>
      <w:pPr>
        <w:widowControl/>
        <w:spacing w:line="360" w:lineRule="auto"/>
        <w:ind w:firstLine="480" w:firstLineChars="200"/>
        <w:rPr>
          <w:rFonts w:ascii="宋体"/>
          <w:color w:val="000000" w:themeColor="text1"/>
          <w:kern w:val="0"/>
          <w:sz w:val="24"/>
        </w:rPr>
      </w:pPr>
      <w:r>
        <w:rPr>
          <w:color w:val="000000" w:themeColor="text1"/>
          <w:sz w:val="24"/>
        </w:rPr>
        <w:t>3</w:t>
      </w:r>
      <w:r>
        <w:rPr>
          <w:rFonts w:hint="eastAsia"/>
          <w:color w:val="000000" w:themeColor="text1"/>
          <w:sz w:val="24"/>
        </w:rPr>
        <w:t>、本合同约定赔偿条款，除因不可抗力外，供方所有赔偿不能免责。</w:t>
      </w:r>
      <w:r>
        <w:rPr>
          <w:rFonts w:hint="eastAsia" w:ascii="宋体" w:hAnsi="宋体"/>
          <w:color w:val="000000" w:themeColor="text1"/>
          <w:kern w:val="0"/>
          <w:sz w:val="24"/>
        </w:rPr>
        <w:t>发生不可抗力的一方应立即通知对方，并在十五天内提供不可抗力的详情及将有关证明文件送交对方；发生不可抗力事件时，供需双方应协商以寻找一个合理的解决方法，并尽一切努力减轻不可抗力产生的后果。</w:t>
      </w:r>
    </w:p>
    <w:p>
      <w:pPr>
        <w:spacing w:line="360" w:lineRule="auto"/>
        <w:rPr>
          <w:color w:val="000000" w:themeColor="text1"/>
          <w:sz w:val="24"/>
        </w:rPr>
      </w:pPr>
      <w:r>
        <w:rPr>
          <w:rFonts w:hint="eastAsia"/>
          <w:color w:val="000000" w:themeColor="text1"/>
          <w:sz w:val="24"/>
        </w:rPr>
        <w:t>十三、本合同经双方盖章（公章或合同专用章）及盖相应的骑缝章后生效。</w:t>
      </w:r>
    </w:p>
    <w:p>
      <w:pPr>
        <w:spacing w:line="360" w:lineRule="auto"/>
        <w:rPr>
          <w:color w:val="000000" w:themeColor="text1"/>
          <w:sz w:val="24"/>
        </w:rPr>
      </w:pPr>
      <w:r>
        <w:rPr>
          <w:rFonts w:hint="eastAsia"/>
          <w:color w:val="000000" w:themeColor="text1"/>
          <w:sz w:val="24"/>
        </w:rPr>
        <w:t>十四、如以前所签合同的内容及相关约定与本合同的相关条款发生冲突，以本合同为准。</w:t>
      </w:r>
    </w:p>
    <w:p>
      <w:pPr>
        <w:spacing w:line="360" w:lineRule="auto"/>
        <w:rPr>
          <w:color w:val="000000" w:themeColor="text1"/>
          <w:sz w:val="24"/>
        </w:rPr>
      </w:pPr>
      <w:r>
        <w:rPr>
          <w:rFonts w:hint="eastAsia"/>
          <w:color w:val="000000" w:themeColor="text1"/>
          <w:sz w:val="24"/>
        </w:rPr>
        <w:t>十五、其它未尽事宜或供需双方因合同的解释或履行发生争议时，由供需双方协商解决。协商未果，任一方向本合同签订地法院提诉讼。</w:t>
      </w:r>
    </w:p>
    <w:p>
      <w:pPr>
        <w:spacing w:line="360" w:lineRule="auto"/>
        <w:rPr>
          <w:color w:val="000000" w:themeColor="text1"/>
          <w:sz w:val="24"/>
        </w:rPr>
      </w:pPr>
      <w:r>
        <w:rPr>
          <w:rFonts w:hint="eastAsia"/>
          <w:color w:val="000000" w:themeColor="text1"/>
          <w:sz w:val="24"/>
        </w:rPr>
        <w:t>十六、本合同一式四份，需方二份，供方二份，各份具有同等法律效力。本合同附件、技术协议、采购订单等为本合同不可缺少的部分，与本合同具有同等法律效力。</w:t>
      </w:r>
    </w:p>
    <w:p>
      <w:pPr>
        <w:spacing w:line="360" w:lineRule="auto"/>
        <w:rPr>
          <w:sz w:val="24"/>
        </w:rPr>
      </w:pPr>
      <w:r>
        <w:rPr>
          <w:rFonts w:hint="eastAsia"/>
          <w:color w:val="000000" w:themeColor="text1"/>
          <w:sz w:val="24"/>
        </w:rPr>
        <w:t>十七</w:t>
      </w:r>
      <w:r>
        <w:rPr>
          <w:rFonts w:hint="eastAsia"/>
          <w:sz w:val="24"/>
        </w:rPr>
        <w:t>、本合同有效期自</w:t>
      </w:r>
      <w:r>
        <w:rPr>
          <w:sz w:val="24"/>
        </w:rPr>
        <w:t>20</w:t>
      </w:r>
      <w:r>
        <w:rPr>
          <w:rFonts w:hint="eastAsia"/>
          <w:sz w:val="24"/>
        </w:rPr>
        <w:t>19年01 月01日至  2020年</w:t>
      </w:r>
      <w:r>
        <w:rPr>
          <w:rFonts w:hint="eastAsia"/>
          <w:sz w:val="24"/>
          <w:u w:val="single"/>
        </w:rPr>
        <w:t>12</w:t>
      </w:r>
      <w:r>
        <w:rPr>
          <w:rFonts w:hint="eastAsia"/>
          <w:sz w:val="24"/>
        </w:rPr>
        <w:t>月31日止，</w:t>
      </w:r>
      <w:r>
        <w:fldChar w:fldCharType="begin"/>
      </w:r>
      <w:r>
        <w:instrText xml:space="preserve"> HYPERLINK "http://www.66law.cn/question/2538961.aspx" \t "_blank" \o "合同到期" </w:instrText>
      </w:r>
      <w:r>
        <w:fldChar w:fldCharType="separate"/>
      </w:r>
      <w:r>
        <w:rPr>
          <w:sz w:val="24"/>
        </w:rPr>
        <w:t>合同到期</w:t>
      </w:r>
      <w:r>
        <w:rPr>
          <w:sz w:val="24"/>
        </w:rPr>
        <w:fldChar w:fldCharType="end"/>
      </w:r>
      <w:r>
        <w:rPr>
          <w:sz w:val="24"/>
        </w:rPr>
        <w:t>后，如双方均未以书面形式提出异议，合同有效期则自动顺延。</w:t>
      </w:r>
    </w:p>
    <w:p>
      <w:pPr>
        <w:spacing w:line="360" w:lineRule="auto"/>
        <w:rPr>
          <w:color w:val="000000" w:themeColor="text1"/>
          <w:sz w:val="24"/>
        </w:rPr>
      </w:pPr>
      <w:r>
        <w:rPr>
          <w:rFonts w:hint="eastAsia"/>
          <w:color w:val="000000" w:themeColor="text1"/>
          <w:sz w:val="24"/>
        </w:rPr>
        <w:t>十八、合同签订单位是一汽凌源汽车制造有限公司的子公司，本合同商务条款适用于一汽凌源汽车制造有限公司及其下属关联子公司。</w:t>
      </w:r>
    </w:p>
    <w:p>
      <w:pPr>
        <w:spacing w:line="360" w:lineRule="auto"/>
        <w:rPr>
          <w:b/>
          <w:bCs/>
          <w:color w:val="000000" w:themeColor="text1"/>
          <w:sz w:val="24"/>
        </w:rPr>
      </w:pPr>
      <w:r>
        <w:rPr>
          <w:rFonts w:hint="eastAsia"/>
          <w:b/>
          <w:bCs/>
          <w:color w:val="000000" w:themeColor="text1"/>
          <w:sz w:val="24"/>
        </w:rPr>
        <w:t>附件：</w:t>
      </w:r>
    </w:p>
    <w:p>
      <w:pPr>
        <w:numPr>
          <w:ilvl w:val="0"/>
          <w:numId w:val="2"/>
        </w:numPr>
        <w:spacing w:line="360" w:lineRule="auto"/>
        <w:rPr>
          <w:color w:val="000000" w:themeColor="text1"/>
          <w:sz w:val="24"/>
        </w:rPr>
      </w:pPr>
      <w:r>
        <w:rPr>
          <w:rFonts w:hint="eastAsia"/>
          <w:color w:val="000000" w:themeColor="text1"/>
          <w:sz w:val="24"/>
        </w:rPr>
        <w:t>采购产品明细表</w:t>
      </w:r>
    </w:p>
    <w:p>
      <w:pPr>
        <w:numPr>
          <w:ilvl w:val="0"/>
          <w:numId w:val="2"/>
        </w:numPr>
        <w:spacing w:line="360" w:lineRule="auto"/>
        <w:rPr>
          <w:color w:val="000000" w:themeColor="text1"/>
          <w:sz w:val="24"/>
        </w:rPr>
      </w:pPr>
      <w:r>
        <w:rPr>
          <w:rFonts w:hint="eastAsia"/>
          <w:color w:val="000000" w:themeColor="text1"/>
          <w:sz w:val="24"/>
        </w:rPr>
        <w:t>质量保证协议</w:t>
      </w:r>
    </w:p>
    <w:p>
      <w:pPr>
        <w:numPr>
          <w:ilvl w:val="0"/>
          <w:numId w:val="2"/>
        </w:numPr>
        <w:spacing w:line="360" w:lineRule="auto"/>
        <w:rPr>
          <w:color w:val="000000" w:themeColor="text1"/>
          <w:sz w:val="24"/>
        </w:rPr>
      </w:pPr>
      <w:r>
        <w:rPr>
          <w:rFonts w:hint="eastAsia"/>
          <w:color w:val="000000" w:themeColor="text1"/>
          <w:sz w:val="24"/>
        </w:rPr>
        <w:t>售后配件供应与售后索赔协议</w:t>
      </w:r>
    </w:p>
    <w:p>
      <w:pPr>
        <w:spacing w:line="480" w:lineRule="auto"/>
        <w:ind w:left="-359" w:leftChars="-171" w:firstLine="304" w:firstLineChars="127"/>
        <w:rPr>
          <w:color w:val="000000" w:themeColor="text1"/>
          <w:sz w:val="24"/>
        </w:rPr>
      </w:pPr>
    </w:p>
    <w:p>
      <w:pPr>
        <w:spacing w:line="480" w:lineRule="auto"/>
        <w:ind w:left="7010" w:leftChars="58" w:hanging="6888" w:hangingChars="2870"/>
        <w:rPr>
          <w:color w:val="000000" w:themeColor="text1"/>
          <w:sz w:val="24"/>
        </w:rPr>
      </w:pPr>
      <w:r>
        <w:rPr>
          <w:rFonts w:hint="eastAsia"/>
          <w:color w:val="000000" w:themeColor="text1"/>
          <w:sz w:val="24"/>
        </w:rPr>
        <w:t>需方：衡水斑马汽车制造有限公司      供方：</w:t>
      </w:r>
      <w:r>
        <w:rPr>
          <w:color w:val="000000" w:themeColor="text1"/>
          <w:sz w:val="24"/>
        </w:rPr>
        <w:t xml:space="preserve"> </w:t>
      </w:r>
      <w:r>
        <w:rPr>
          <w:rFonts w:hint="eastAsia"/>
          <w:color w:val="FF0000"/>
          <w:sz w:val="24"/>
          <w:u w:val="single"/>
        </w:rPr>
        <w:t>河北光华荣汽车部件有限公司</w:t>
      </w:r>
    </w:p>
    <w:p>
      <w:pPr>
        <w:spacing w:line="480" w:lineRule="auto"/>
        <w:rPr>
          <w:color w:val="000000" w:themeColor="text1"/>
          <w:sz w:val="24"/>
        </w:rPr>
      </w:pPr>
      <w:r>
        <w:rPr>
          <w:rFonts w:hint="eastAsia"/>
          <w:color w:val="000000" w:themeColor="text1"/>
          <w:sz w:val="24"/>
        </w:rPr>
        <w:t xml:space="preserve">                            </w:t>
      </w:r>
    </w:p>
    <w:p>
      <w:pPr>
        <w:spacing w:line="360" w:lineRule="auto"/>
        <w:rPr>
          <w:rFonts w:asciiTheme="minorEastAsia" w:hAnsiTheme="minorEastAsia" w:eastAsiaTheme="minorEastAsia" w:cstheme="minorEastAsia"/>
          <w:b/>
          <w:bCs/>
          <w:color w:val="000000" w:themeColor="text1"/>
          <w:sz w:val="32"/>
          <w:szCs w:val="32"/>
        </w:rPr>
      </w:pPr>
      <w:r>
        <w:rPr>
          <w:rFonts w:hint="eastAsia"/>
          <w:color w:val="000000" w:themeColor="text1"/>
          <w:sz w:val="24"/>
        </w:rPr>
        <w:t>日期：   年  月   日                        日期：20109 年 12 月 31日</w:t>
      </w:r>
    </w:p>
    <w:p>
      <w:pPr>
        <w:spacing w:line="360" w:lineRule="auto"/>
        <w:rPr>
          <w:rFonts w:asciiTheme="minorEastAsia" w:hAnsiTheme="minorEastAsia" w:eastAsiaTheme="minorEastAsia" w:cstheme="minorEastAsia"/>
          <w:b/>
          <w:bCs/>
          <w:color w:val="000000" w:themeColor="text1"/>
          <w:sz w:val="32"/>
          <w:szCs w:val="32"/>
        </w:rPr>
      </w:pPr>
    </w:p>
    <w:p>
      <w:pPr>
        <w:spacing w:line="360" w:lineRule="auto"/>
        <w:rPr>
          <w:rFonts w:asciiTheme="minorEastAsia" w:hAnsiTheme="minorEastAsia" w:eastAsiaTheme="minorEastAsia" w:cstheme="minorEastAsia"/>
          <w:b/>
          <w:bCs/>
          <w:color w:val="000000" w:themeColor="text1"/>
          <w:sz w:val="32"/>
          <w:szCs w:val="32"/>
        </w:rPr>
      </w:pPr>
    </w:p>
    <w:p>
      <w:pPr>
        <w:spacing w:line="360" w:lineRule="auto"/>
        <w:rPr>
          <w:rFonts w:asciiTheme="minorEastAsia" w:hAnsiTheme="minorEastAsia" w:eastAsiaTheme="minorEastAsia" w:cstheme="minorEastAsia"/>
          <w:b/>
          <w:bCs/>
          <w:color w:val="000000" w:themeColor="text1"/>
          <w:sz w:val="32"/>
          <w:szCs w:val="32"/>
        </w:rPr>
      </w:pPr>
    </w:p>
    <w:p>
      <w:pPr>
        <w:spacing w:line="360" w:lineRule="auto"/>
        <w:rPr>
          <w:rFonts w:asciiTheme="minorEastAsia" w:hAnsiTheme="minorEastAsia" w:eastAsiaTheme="minorEastAsia" w:cstheme="minorEastAsia"/>
          <w:b/>
          <w:bCs/>
          <w:color w:val="000000" w:themeColor="text1"/>
          <w:sz w:val="32"/>
          <w:szCs w:val="32"/>
        </w:rPr>
      </w:pPr>
    </w:p>
    <w:p>
      <w:pPr>
        <w:spacing w:line="360" w:lineRule="auto"/>
        <w:rPr>
          <w:rFonts w:asciiTheme="minorEastAsia" w:hAnsiTheme="minorEastAsia" w:eastAsiaTheme="minorEastAsia" w:cstheme="minorEastAsia"/>
          <w:b/>
          <w:bCs/>
          <w:color w:val="000000" w:themeColor="text1"/>
          <w:sz w:val="32"/>
          <w:szCs w:val="32"/>
        </w:rPr>
      </w:pPr>
    </w:p>
    <w:p>
      <w:pPr>
        <w:spacing w:line="360" w:lineRule="auto"/>
        <w:rPr>
          <w:rFonts w:asciiTheme="minorEastAsia" w:hAnsiTheme="minorEastAsia" w:eastAsiaTheme="minorEastAsia" w:cstheme="minorEastAsia"/>
          <w:b/>
          <w:bCs/>
          <w:color w:val="000000" w:themeColor="text1"/>
          <w:sz w:val="32"/>
          <w:szCs w:val="32"/>
        </w:rPr>
      </w:pPr>
    </w:p>
    <w:p>
      <w:pPr>
        <w:spacing w:line="360" w:lineRule="auto"/>
        <w:rPr>
          <w:rFonts w:asciiTheme="minorEastAsia" w:hAnsiTheme="minorEastAsia" w:eastAsiaTheme="minorEastAsia" w:cstheme="minorEastAsia"/>
          <w:b/>
          <w:bCs/>
          <w:color w:val="000000" w:themeColor="text1"/>
          <w:sz w:val="32"/>
          <w:szCs w:val="32"/>
        </w:rPr>
      </w:pPr>
    </w:p>
    <w:p>
      <w:pPr>
        <w:spacing w:line="360" w:lineRule="auto"/>
        <w:rPr>
          <w:rFonts w:asciiTheme="minorEastAsia" w:hAnsiTheme="minorEastAsia" w:eastAsiaTheme="minorEastAsia" w:cstheme="minorEastAsia"/>
          <w:b/>
          <w:bCs/>
          <w:color w:val="000000" w:themeColor="text1"/>
          <w:sz w:val="32"/>
          <w:szCs w:val="32"/>
        </w:rPr>
      </w:pPr>
    </w:p>
    <w:p>
      <w:pPr>
        <w:spacing w:line="360" w:lineRule="auto"/>
        <w:rPr>
          <w:rFonts w:asciiTheme="minorEastAsia" w:hAnsiTheme="minorEastAsia" w:eastAsiaTheme="minorEastAsia" w:cstheme="minorEastAsia"/>
          <w:b/>
          <w:bCs/>
          <w:color w:val="000000" w:themeColor="text1"/>
          <w:sz w:val="32"/>
          <w:szCs w:val="32"/>
        </w:rPr>
      </w:pPr>
    </w:p>
    <w:p>
      <w:pPr>
        <w:spacing w:line="360" w:lineRule="auto"/>
        <w:rPr>
          <w:rFonts w:asciiTheme="minorEastAsia" w:hAnsiTheme="minorEastAsia" w:eastAsiaTheme="minorEastAsia" w:cstheme="minorEastAsia"/>
          <w:b/>
          <w:bCs/>
          <w:color w:val="000000" w:themeColor="text1"/>
          <w:sz w:val="32"/>
          <w:szCs w:val="32"/>
        </w:rPr>
      </w:pPr>
    </w:p>
    <w:p>
      <w:pPr>
        <w:spacing w:line="360" w:lineRule="auto"/>
        <w:rPr>
          <w:rFonts w:asciiTheme="minorEastAsia" w:hAnsiTheme="minorEastAsia" w:eastAsiaTheme="minorEastAsia" w:cstheme="minorEastAsia"/>
          <w:b/>
          <w:bCs/>
          <w:color w:val="000000" w:themeColor="text1"/>
          <w:sz w:val="32"/>
          <w:szCs w:val="32"/>
        </w:rPr>
      </w:pPr>
    </w:p>
    <w:p>
      <w:pPr>
        <w:spacing w:line="360" w:lineRule="auto"/>
        <w:rPr>
          <w:rFonts w:asciiTheme="minorEastAsia" w:hAnsiTheme="minorEastAsia" w:eastAsiaTheme="minorEastAsia" w:cstheme="minorEastAsia"/>
          <w:b/>
          <w:bCs/>
          <w:color w:val="000000" w:themeColor="text1"/>
          <w:sz w:val="32"/>
          <w:szCs w:val="32"/>
        </w:rPr>
      </w:pPr>
    </w:p>
    <w:p>
      <w:pPr>
        <w:spacing w:line="360" w:lineRule="auto"/>
        <w:rPr>
          <w:rFonts w:asciiTheme="minorEastAsia" w:hAnsiTheme="minorEastAsia" w:eastAsiaTheme="minorEastAsia" w:cstheme="minorEastAsia"/>
          <w:b/>
          <w:bCs/>
          <w:color w:val="000000" w:themeColor="text1"/>
          <w:sz w:val="32"/>
          <w:szCs w:val="32"/>
        </w:rPr>
      </w:pPr>
    </w:p>
    <w:p>
      <w:pPr>
        <w:spacing w:line="360" w:lineRule="auto"/>
        <w:rPr>
          <w:b/>
          <w:bCs/>
          <w:color w:val="000000" w:themeColor="text1"/>
          <w:sz w:val="24"/>
        </w:rPr>
      </w:pPr>
      <w:r>
        <w:rPr>
          <w:rFonts w:hint="eastAsia" w:asciiTheme="minorEastAsia" w:hAnsiTheme="minorEastAsia" w:eastAsiaTheme="minorEastAsia" w:cstheme="minorEastAsia"/>
          <w:b/>
          <w:bCs/>
          <w:color w:val="000000" w:themeColor="text1"/>
          <w:sz w:val="32"/>
          <w:szCs w:val="32"/>
        </w:rPr>
        <w:t>附件1：</w:t>
      </w:r>
    </w:p>
    <w:p>
      <w:pPr>
        <w:spacing w:line="360" w:lineRule="auto"/>
        <w:jc w:val="center"/>
        <w:rPr>
          <w:color w:val="000000" w:themeColor="text1"/>
          <w:sz w:val="24"/>
        </w:rPr>
      </w:pPr>
      <w:r>
        <w:rPr>
          <w:rFonts w:hint="eastAsia"/>
          <w:color w:val="000000" w:themeColor="text1"/>
          <w:sz w:val="24"/>
        </w:rPr>
        <w:t>采购产品明细表</w:t>
      </w:r>
    </w:p>
    <w:tbl>
      <w:tblPr>
        <w:tblStyle w:val="10"/>
        <w:tblW w:w="9007"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2693"/>
        <w:gridCol w:w="1776"/>
        <w:gridCol w:w="855"/>
        <w:gridCol w:w="735"/>
        <w:gridCol w:w="1275"/>
        <w:gridCol w:w="1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644" w:type="dxa"/>
            <w:vAlign w:val="center"/>
          </w:tcPr>
          <w:p>
            <w:pPr>
              <w:spacing w:line="360" w:lineRule="auto"/>
              <w:jc w:val="center"/>
              <w:rPr>
                <w:color w:val="000000" w:themeColor="text1"/>
                <w:sz w:val="24"/>
              </w:rPr>
            </w:pPr>
            <w:r>
              <w:rPr>
                <w:rFonts w:hint="eastAsia"/>
                <w:color w:val="000000" w:themeColor="text1"/>
                <w:sz w:val="24"/>
              </w:rPr>
              <w:t>序号</w:t>
            </w:r>
          </w:p>
        </w:tc>
        <w:tc>
          <w:tcPr>
            <w:tcW w:w="2693" w:type="dxa"/>
            <w:vAlign w:val="center"/>
          </w:tcPr>
          <w:p>
            <w:pPr>
              <w:spacing w:line="360" w:lineRule="auto"/>
              <w:jc w:val="center"/>
              <w:rPr>
                <w:color w:val="000000" w:themeColor="text1"/>
                <w:sz w:val="24"/>
              </w:rPr>
            </w:pPr>
            <w:r>
              <w:rPr>
                <w:rFonts w:hint="eastAsia"/>
                <w:color w:val="000000" w:themeColor="text1"/>
                <w:sz w:val="24"/>
              </w:rPr>
              <w:t>产品名称</w:t>
            </w:r>
          </w:p>
        </w:tc>
        <w:tc>
          <w:tcPr>
            <w:tcW w:w="1776" w:type="dxa"/>
            <w:vAlign w:val="center"/>
          </w:tcPr>
          <w:p>
            <w:pPr>
              <w:spacing w:line="360" w:lineRule="auto"/>
              <w:jc w:val="center"/>
              <w:rPr>
                <w:color w:val="000000" w:themeColor="text1"/>
                <w:sz w:val="24"/>
              </w:rPr>
            </w:pPr>
            <w:r>
              <w:rPr>
                <w:rFonts w:hint="eastAsia"/>
                <w:color w:val="000000" w:themeColor="text1"/>
                <w:sz w:val="24"/>
              </w:rPr>
              <w:t>规格型号</w:t>
            </w:r>
          </w:p>
        </w:tc>
        <w:tc>
          <w:tcPr>
            <w:tcW w:w="855" w:type="dxa"/>
            <w:vAlign w:val="center"/>
          </w:tcPr>
          <w:p>
            <w:pPr>
              <w:spacing w:line="360" w:lineRule="auto"/>
              <w:jc w:val="center"/>
              <w:rPr>
                <w:color w:val="000000" w:themeColor="text1"/>
                <w:sz w:val="24"/>
              </w:rPr>
            </w:pPr>
            <w:r>
              <w:rPr>
                <w:rFonts w:hint="eastAsia"/>
                <w:color w:val="000000" w:themeColor="text1"/>
                <w:sz w:val="24"/>
              </w:rPr>
              <w:t>单位</w:t>
            </w:r>
          </w:p>
        </w:tc>
        <w:tc>
          <w:tcPr>
            <w:tcW w:w="735" w:type="dxa"/>
            <w:vAlign w:val="center"/>
          </w:tcPr>
          <w:p>
            <w:pPr>
              <w:spacing w:line="360" w:lineRule="auto"/>
              <w:jc w:val="center"/>
              <w:rPr>
                <w:color w:val="000000" w:themeColor="text1"/>
                <w:sz w:val="24"/>
              </w:rPr>
            </w:pPr>
            <w:r>
              <w:rPr>
                <w:rFonts w:hint="eastAsia"/>
                <w:color w:val="000000" w:themeColor="text1"/>
                <w:sz w:val="24"/>
              </w:rPr>
              <w:t>数量</w:t>
            </w:r>
          </w:p>
        </w:tc>
        <w:tc>
          <w:tcPr>
            <w:tcW w:w="1275" w:type="dxa"/>
            <w:vAlign w:val="center"/>
          </w:tcPr>
          <w:p>
            <w:pPr>
              <w:spacing w:line="360" w:lineRule="auto"/>
              <w:jc w:val="center"/>
              <w:rPr>
                <w:color w:val="000000" w:themeColor="text1"/>
                <w:sz w:val="24"/>
              </w:rPr>
            </w:pPr>
            <w:r>
              <w:rPr>
                <w:rFonts w:hint="eastAsia"/>
                <w:color w:val="000000" w:themeColor="text1"/>
                <w:sz w:val="24"/>
              </w:rPr>
              <w:t>单价（不含税/元）</w:t>
            </w:r>
          </w:p>
        </w:tc>
        <w:tc>
          <w:tcPr>
            <w:tcW w:w="1029" w:type="dxa"/>
            <w:vAlign w:val="center"/>
          </w:tcPr>
          <w:p>
            <w:pPr>
              <w:spacing w:line="360" w:lineRule="auto"/>
              <w:jc w:val="center"/>
              <w:rPr>
                <w:color w:val="000000" w:themeColor="text1"/>
                <w:sz w:val="24"/>
              </w:rPr>
            </w:pPr>
            <w:r>
              <w:rPr>
                <w:rFonts w:hint="eastAsia"/>
                <w:color w:val="000000" w:themeColor="text1"/>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Align w:val="center"/>
          </w:tcPr>
          <w:p>
            <w:pPr>
              <w:jc w:val="right"/>
              <w:rPr>
                <w:rFonts w:ascii="宋体" w:hAnsi="宋体" w:cs="宋体"/>
                <w:color w:val="000000" w:themeColor="text1"/>
                <w:sz w:val="22"/>
                <w:szCs w:val="22"/>
              </w:rPr>
            </w:pPr>
            <w:r>
              <w:rPr>
                <w:rFonts w:hint="eastAsia" w:ascii="宋体" w:hAnsi="宋体" w:cs="宋体"/>
                <w:color w:val="000000" w:themeColor="text1"/>
                <w:sz w:val="22"/>
                <w:szCs w:val="22"/>
              </w:rPr>
              <w:t>1</w:t>
            </w:r>
          </w:p>
        </w:tc>
        <w:tc>
          <w:tcPr>
            <w:tcW w:w="2693" w:type="dxa"/>
            <w:vAlign w:val="center"/>
          </w:tcPr>
          <w:p>
            <w:pPr>
              <w:jc w:val="center"/>
              <w:rPr>
                <w:rFonts w:ascii="华文宋体" w:hAnsi="华文宋体" w:eastAsia="华文宋体" w:cs="宋体"/>
                <w:sz w:val="22"/>
                <w:szCs w:val="22"/>
              </w:rPr>
            </w:pPr>
            <w:r>
              <w:rPr>
                <w:rFonts w:hint="eastAsia" w:ascii="华文宋体" w:hAnsi="华文宋体" w:eastAsia="华文宋体"/>
                <w:sz w:val="22"/>
                <w:szCs w:val="22"/>
              </w:rPr>
              <w:t>驾驶员座椅总成(经济版)</w:t>
            </w:r>
          </w:p>
        </w:tc>
        <w:tc>
          <w:tcPr>
            <w:tcW w:w="1776" w:type="dxa"/>
            <w:vAlign w:val="center"/>
          </w:tcPr>
          <w:p>
            <w:pPr>
              <w:jc w:val="center"/>
              <w:rPr>
                <w:rFonts w:ascii="华文宋体" w:hAnsi="华文宋体" w:eastAsia="华文宋体" w:cs="宋体"/>
                <w:sz w:val="22"/>
                <w:szCs w:val="22"/>
              </w:rPr>
            </w:pPr>
            <w:r>
              <w:rPr>
                <w:rFonts w:hint="eastAsia" w:ascii="华文宋体" w:hAnsi="华文宋体" w:eastAsia="华文宋体"/>
                <w:sz w:val="22"/>
                <w:szCs w:val="22"/>
              </w:rPr>
              <w:t>6800010-25A01</w:t>
            </w:r>
          </w:p>
        </w:tc>
        <w:tc>
          <w:tcPr>
            <w:tcW w:w="855" w:type="dxa"/>
            <w:vAlign w:val="center"/>
          </w:tcPr>
          <w:p>
            <w:pPr>
              <w:spacing w:line="360" w:lineRule="auto"/>
              <w:rPr>
                <w:color w:val="000000" w:themeColor="text1"/>
                <w:sz w:val="24"/>
              </w:rPr>
            </w:pPr>
            <w:r>
              <w:rPr>
                <w:rFonts w:hint="eastAsia"/>
                <w:color w:val="000000" w:themeColor="text1"/>
                <w:sz w:val="24"/>
              </w:rPr>
              <w:t>套</w:t>
            </w:r>
          </w:p>
        </w:tc>
        <w:tc>
          <w:tcPr>
            <w:tcW w:w="735" w:type="dxa"/>
            <w:vAlign w:val="center"/>
          </w:tcPr>
          <w:p>
            <w:pPr>
              <w:jc w:val="center"/>
              <w:rPr>
                <w:rFonts w:ascii="宋体" w:hAnsi="宋体" w:cs="宋体"/>
                <w:color w:val="000000" w:themeColor="text1"/>
                <w:sz w:val="22"/>
                <w:szCs w:val="22"/>
              </w:rPr>
            </w:pPr>
            <w:r>
              <w:rPr>
                <w:rFonts w:hint="eastAsia" w:ascii="宋体" w:hAnsi="宋体" w:cs="宋体"/>
                <w:color w:val="000000" w:themeColor="text1"/>
                <w:sz w:val="22"/>
                <w:szCs w:val="22"/>
              </w:rPr>
              <w:t>1</w:t>
            </w:r>
          </w:p>
        </w:tc>
        <w:tc>
          <w:tcPr>
            <w:tcW w:w="1275" w:type="dxa"/>
            <w:vAlign w:val="center"/>
          </w:tcPr>
          <w:p>
            <w:pPr>
              <w:jc w:val="center"/>
              <w:rPr>
                <w:rFonts w:ascii="宋体" w:hAnsi="宋体" w:cs="宋体"/>
                <w:color w:val="000000" w:themeColor="text1"/>
                <w:sz w:val="22"/>
                <w:szCs w:val="22"/>
              </w:rPr>
            </w:pPr>
            <w:r>
              <w:rPr>
                <w:rFonts w:hint="eastAsia" w:ascii="宋体" w:hAnsi="宋体" w:cs="宋体"/>
                <w:color w:val="000000" w:themeColor="text1"/>
                <w:sz w:val="22"/>
                <w:szCs w:val="22"/>
              </w:rPr>
              <w:t>1150</w:t>
            </w:r>
          </w:p>
        </w:tc>
        <w:tc>
          <w:tcPr>
            <w:tcW w:w="1029" w:type="dxa"/>
            <w:vAlign w:val="center"/>
          </w:tcPr>
          <w:p>
            <w:pPr>
              <w:spacing w:line="360" w:lineRule="auto"/>
              <w:jc w:val="center"/>
              <w:rPr>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Align w:val="center"/>
          </w:tcPr>
          <w:p>
            <w:pPr>
              <w:jc w:val="right"/>
              <w:rPr>
                <w:rFonts w:ascii="宋体" w:hAnsi="宋体" w:cs="宋体"/>
                <w:color w:val="000000" w:themeColor="text1"/>
                <w:sz w:val="22"/>
                <w:szCs w:val="22"/>
              </w:rPr>
            </w:pPr>
            <w:r>
              <w:rPr>
                <w:rFonts w:hint="eastAsia" w:ascii="宋体" w:hAnsi="宋体" w:cs="宋体"/>
                <w:color w:val="000000" w:themeColor="text1"/>
                <w:sz w:val="22"/>
                <w:szCs w:val="22"/>
              </w:rPr>
              <w:t>2</w:t>
            </w:r>
          </w:p>
        </w:tc>
        <w:tc>
          <w:tcPr>
            <w:tcW w:w="2693" w:type="dxa"/>
            <w:vAlign w:val="center"/>
          </w:tcPr>
          <w:p>
            <w:pPr>
              <w:jc w:val="center"/>
              <w:rPr>
                <w:rFonts w:ascii="华文宋体" w:hAnsi="华文宋体" w:eastAsia="华文宋体" w:cs="宋体"/>
                <w:sz w:val="22"/>
                <w:szCs w:val="22"/>
              </w:rPr>
            </w:pPr>
            <w:r>
              <w:rPr>
                <w:rFonts w:hint="eastAsia" w:ascii="华文宋体" w:hAnsi="华文宋体" w:eastAsia="华文宋体"/>
                <w:sz w:val="22"/>
                <w:szCs w:val="22"/>
              </w:rPr>
              <w:t>副驾驶座椅总成(经济版)</w:t>
            </w:r>
          </w:p>
        </w:tc>
        <w:tc>
          <w:tcPr>
            <w:tcW w:w="1776" w:type="dxa"/>
            <w:vAlign w:val="center"/>
          </w:tcPr>
          <w:p>
            <w:pPr>
              <w:jc w:val="center"/>
              <w:rPr>
                <w:rFonts w:ascii="华文宋体" w:hAnsi="华文宋体" w:eastAsia="华文宋体" w:cs="宋体"/>
                <w:sz w:val="22"/>
                <w:szCs w:val="22"/>
              </w:rPr>
            </w:pPr>
            <w:r>
              <w:rPr>
                <w:rFonts w:hint="eastAsia" w:ascii="华文宋体" w:hAnsi="华文宋体" w:eastAsia="华文宋体"/>
                <w:sz w:val="22"/>
                <w:szCs w:val="22"/>
              </w:rPr>
              <w:t>6900010-25A01</w:t>
            </w:r>
          </w:p>
        </w:tc>
        <w:tc>
          <w:tcPr>
            <w:tcW w:w="855" w:type="dxa"/>
            <w:vAlign w:val="center"/>
          </w:tcPr>
          <w:p>
            <w:pPr>
              <w:spacing w:line="360" w:lineRule="auto"/>
              <w:rPr>
                <w:color w:val="000000" w:themeColor="text1"/>
                <w:sz w:val="24"/>
              </w:rPr>
            </w:pPr>
            <w:r>
              <w:rPr>
                <w:rFonts w:hint="eastAsia"/>
                <w:color w:val="000000" w:themeColor="text1"/>
                <w:sz w:val="24"/>
              </w:rPr>
              <w:t>套</w:t>
            </w:r>
          </w:p>
        </w:tc>
        <w:tc>
          <w:tcPr>
            <w:tcW w:w="735" w:type="dxa"/>
            <w:vAlign w:val="center"/>
          </w:tcPr>
          <w:p>
            <w:pPr>
              <w:jc w:val="center"/>
              <w:rPr>
                <w:rFonts w:ascii="宋体" w:hAnsi="宋体" w:cs="宋体"/>
                <w:color w:val="000000" w:themeColor="text1"/>
                <w:sz w:val="22"/>
                <w:szCs w:val="22"/>
              </w:rPr>
            </w:pPr>
            <w:r>
              <w:rPr>
                <w:rFonts w:hint="eastAsia" w:ascii="宋体" w:hAnsi="宋体" w:cs="宋体"/>
                <w:color w:val="000000" w:themeColor="text1"/>
                <w:sz w:val="22"/>
                <w:szCs w:val="22"/>
              </w:rPr>
              <w:t>1</w:t>
            </w:r>
          </w:p>
        </w:tc>
        <w:tc>
          <w:tcPr>
            <w:tcW w:w="1275" w:type="dxa"/>
            <w:vAlign w:val="center"/>
          </w:tcPr>
          <w:p>
            <w:pPr>
              <w:jc w:val="center"/>
              <w:rPr>
                <w:rFonts w:ascii="宋体" w:hAnsi="宋体" w:cs="宋体"/>
                <w:color w:val="000000" w:themeColor="text1"/>
                <w:sz w:val="22"/>
                <w:szCs w:val="22"/>
              </w:rPr>
            </w:pPr>
            <w:r>
              <w:rPr>
                <w:rFonts w:hint="eastAsia" w:ascii="宋体" w:hAnsi="宋体" w:cs="宋体"/>
                <w:color w:val="000000" w:themeColor="text1"/>
                <w:sz w:val="22"/>
                <w:szCs w:val="22"/>
              </w:rPr>
              <w:t>350</w:t>
            </w:r>
          </w:p>
        </w:tc>
        <w:tc>
          <w:tcPr>
            <w:tcW w:w="1029" w:type="dxa"/>
            <w:vAlign w:val="center"/>
          </w:tcPr>
          <w:p>
            <w:pPr>
              <w:spacing w:line="360" w:lineRule="auto"/>
              <w:jc w:val="center"/>
              <w:rPr>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Align w:val="center"/>
          </w:tcPr>
          <w:p>
            <w:pPr>
              <w:jc w:val="right"/>
              <w:rPr>
                <w:rFonts w:ascii="宋体" w:hAnsi="宋体" w:cs="宋体"/>
                <w:color w:val="000000" w:themeColor="text1"/>
                <w:sz w:val="22"/>
                <w:szCs w:val="22"/>
              </w:rPr>
            </w:pPr>
            <w:r>
              <w:rPr>
                <w:rFonts w:hint="eastAsia" w:ascii="宋体" w:hAnsi="宋体" w:cs="宋体"/>
                <w:color w:val="000000" w:themeColor="text1"/>
                <w:sz w:val="22"/>
                <w:szCs w:val="22"/>
              </w:rPr>
              <w:t>3</w:t>
            </w:r>
          </w:p>
        </w:tc>
        <w:tc>
          <w:tcPr>
            <w:tcW w:w="2693" w:type="dxa"/>
            <w:vAlign w:val="center"/>
          </w:tcPr>
          <w:p>
            <w:pPr>
              <w:jc w:val="center"/>
              <w:rPr>
                <w:rFonts w:ascii="华文宋体" w:hAnsi="华文宋体" w:eastAsia="华文宋体" w:cs="宋体"/>
                <w:sz w:val="22"/>
                <w:szCs w:val="22"/>
              </w:rPr>
            </w:pPr>
            <w:r>
              <w:rPr>
                <w:rFonts w:hint="eastAsia" w:ascii="华文宋体" w:hAnsi="华文宋体" w:eastAsia="华文宋体"/>
                <w:sz w:val="22"/>
                <w:szCs w:val="22"/>
              </w:rPr>
              <w:t>驾驶员座椅总成(标准版)</w:t>
            </w:r>
          </w:p>
        </w:tc>
        <w:tc>
          <w:tcPr>
            <w:tcW w:w="1776" w:type="dxa"/>
            <w:vAlign w:val="center"/>
          </w:tcPr>
          <w:p>
            <w:pPr>
              <w:jc w:val="center"/>
              <w:rPr>
                <w:rFonts w:ascii="华文宋体" w:hAnsi="华文宋体" w:eastAsia="华文宋体" w:cs="宋体"/>
                <w:sz w:val="22"/>
                <w:szCs w:val="22"/>
              </w:rPr>
            </w:pPr>
            <w:r>
              <w:rPr>
                <w:rFonts w:hint="eastAsia" w:ascii="华文宋体" w:hAnsi="华文宋体" w:eastAsia="华文宋体"/>
                <w:sz w:val="22"/>
                <w:szCs w:val="22"/>
              </w:rPr>
              <w:t>6800010-25A01H</w:t>
            </w:r>
          </w:p>
        </w:tc>
        <w:tc>
          <w:tcPr>
            <w:tcW w:w="855" w:type="dxa"/>
            <w:vAlign w:val="center"/>
          </w:tcPr>
          <w:p>
            <w:pPr>
              <w:spacing w:line="360" w:lineRule="auto"/>
              <w:rPr>
                <w:color w:val="000000" w:themeColor="text1"/>
                <w:sz w:val="24"/>
              </w:rPr>
            </w:pPr>
            <w:r>
              <w:rPr>
                <w:rFonts w:hint="eastAsia"/>
                <w:color w:val="000000" w:themeColor="text1"/>
                <w:sz w:val="24"/>
              </w:rPr>
              <w:t>套</w:t>
            </w:r>
          </w:p>
        </w:tc>
        <w:tc>
          <w:tcPr>
            <w:tcW w:w="735" w:type="dxa"/>
            <w:vAlign w:val="center"/>
          </w:tcPr>
          <w:p>
            <w:pPr>
              <w:jc w:val="center"/>
              <w:rPr>
                <w:rFonts w:ascii="宋体" w:hAnsi="宋体" w:cs="宋体"/>
                <w:color w:val="000000" w:themeColor="text1"/>
                <w:sz w:val="22"/>
                <w:szCs w:val="22"/>
              </w:rPr>
            </w:pPr>
            <w:r>
              <w:rPr>
                <w:rFonts w:hint="eastAsia" w:ascii="宋体" w:hAnsi="宋体" w:cs="宋体"/>
                <w:color w:val="000000" w:themeColor="text1"/>
                <w:sz w:val="22"/>
                <w:szCs w:val="22"/>
              </w:rPr>
              <w:t>1</w:t>
            </w:r>
          </w:p>
        </w:tc>
        <w:tc>
          <w:tcPr>
            <w:tcW w:w="1275" w:type="dxa"/>
            <w:vAlign w:val="center"/>
          </w:tcPr>
          <w:p>
            <w:pPr>
              <w:jc w:val="center"/>
              <w:rPr>
                <w:rFonts w:ascii="宋体" w:hAnsi="宋体" w:cs="宋体"/>
                <w:color w:val="000000" w:themeColor="text1"/>
                <w:sz w:val="22"/>
                <w:szCs w:val="22"/>
              </w:rPr>
            </w:pPr>
            <w:r>
              <w:rPr>
                <w:rFonts w:hint="eastAsia" w:ascii="宋体" w:hAnsi="宋体" w:cs="宋体"/>
                <w:color w:val="000000" w:themeColor="text1"/>
                <w:sz w:val="22"/>
                <w:szCs w:val="22"/>
              </w:rPr>
              <w:t>1824</w:t>
            </w:r>
          </w:p>
        </w:tc>
        <w:tc>
          <w:tcPr>
            <w:tcW w:w="1029" w:type="dxa"/>
            <w:vAlign w:val="center"/>
          </w:tcPr>
          <w:p>
            <w:pPr>
              <w:spacing w:line="360" w:lineRule="auto"/>
              <w:jc w:val="center"/>
              <w:rPr>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Align w:val="center"/>
          </w:tcPr>
          <w:p>
            <w:pPr>
              <w:jc w:val="right"/>
              <w:rPr>
                <w:rFonts w:ascii="宋体" w:hAnsi="宋体" w:cs="宋体"/>
                <w:color w:val="000000" w:themeColor="text1"/>
                <w:sz w:val="22"/>
                <w:szCs w:val="22"/>
              </w:rPr>
            </w:pPr>
            <w:r>
              <w:rPr>
                <w:rFonts w:hint="eastAsia" w:ascii="宋体" w:hAnsi="宋体" w:cs="宋体"/>
                <w:color w:val="000000" w:themeColor="text1"/>
                <w:sz w:val="22"/>
                <w:szCs w:val="22"/>
              </w:rPr>
              <w:t>4</w:t>
            </w:r>
          </w:p>
        </w:tc>
        <w:tc>
          <w:tcPr>
            <w:tcW w:w="2693" w:type="dxa"/>
            <w:vAlign w:val="center"/>
          </w:tcPr>
          <w:p>
            <w:pPr>
              <w:rPr>
                <w:rFonts w:ascii="华文宋体" w:hAnsi="华文宋体" w:eastAsia="华文宋体" w:cs="宋体"/>
                <w:sz w:val="22"/>
                <w:szCs w:val="22"/>
              </w:rPr>
            </w:pPr>
            <w:r>
              <w:rPr>
                <w:rFonts w:hint="eastAsia" w:ascii="华文宋体" w:hAnsi="华文宋体" w:eastAsia="华文宋体"/>
                <w:sz w:val="22"/>
                <w:szCs w:val="22"/>
              </w:rPr>
              <w:t>副驾驶座椅总成(标准版)</w:t>
            </w:r>
          </w:p>
        </w:tc>
        <w:tc>
          <w:tcPr>
            <w:tcW w:w="1776" w:type="dxa"/>
            <w:vAlign w:val="center"/>
          </w:tcPr>
          <w:p>
            <w:pPr>
              <w:jc w:val="center"/>
              <w:rPr>
                <w:rFonts w:ascii="华文宋体" w:hAnsi="华文宋体" w:eastAsia="华文宋体" w:cs="宋体"/>
                <w:sz w:val="22"/>
                <w:szCs w:val="22"/>
              </w:rPr>
            </w:pPr>
            <w:r>
              <w:rPr>
                <w:rFonts w:hint="eastAsia" w:ascii="华文宋体" w:hAnsi="华文宋体" w:eastAsia="华文宋体"/>
                <w:sz w:val="22"/>
                <w:szCs w:val="22"/>
              </w:rPr>
              <w:t>6900010-25A01H</w:t>
            </w:r>
          </w:p>
        </w:tc>
        <w:tc>
          <w:tcPr>
            <w:tcW w:w="855" w:type="dxa"/>
            <w:vAlign w:val="center"/>
          </w:tcPr>
          <w:p>
            <w:pPr>
              <w:spacing w:line="360" w:lineRule="auto"/>
              <w:rPr>
                <w:color w:val="000000" w:themeColor="text1"/>
                <w:sz w:val="24"/>
              </w:rPr>
            </w:pPr>
            <w:r>
              <w:rPr>
                <w:rFonts w:hint="eastAsia"/>
                <w:color w:val="000000" w:themeColor="text1"/>
                <w:sz w:val="24"/>
              </w:rPr>
              <w:t>套</w:t>
            </w:r>
          </w:p>
        </w:tc>
        <w:tc>
          <w:tcPr>
            <w:tcW w:w="735" w:type="dxa"/>
            <w:vAlign w:val="center"/>
          </w:tcPr>
          <w:p>
            <w:pPr>
              <w:jc w:val="center"/>
              <w:rPr>
                <w:rFonts w:ascii="宋体" w:hAnsi="宋体" w:cs="宋体"/>
                <w:color w:val="000000" w:themeColor="text1"/>
                <w:sz w:val="22"/>
                <w:szCs w:val="22"/>
              </w:rPr>
            </w:pPr>
            <w:r>
              <w:rPr>
                <w:rFonts w:hint="eastAsia" w:ascii="宋体" w:hAnsi="宋体" w:cs="宋体"/>
                <w:color w:val="000000" w:themeColor="text1"/>
                <w:sz w:val="22"/>
                <w:szCs w:val="22"/>
              </w:rPr>
              <w:t>1</w:t>
            </w:r>
          </w:p>
        </w:tc>
        <w:tc>
          <w:tcPr>
            <w:tcW w:w="1275" w:type="dxa"/>
            <w:vAlign w:val="center"/>
          </w:tcPr>
          <w:p>
            <w:pPr>
              <w:jc w:val="center"/>
              <w:rPr>
                <w:rFonts w:ascii="宋体" w:hAnsi="宋体" w:cs="宋体"/>
                <w:color w:val="000000" w:themeColor="text1"/>
                <w:sz w:val="22"/>
                <w:szCs w:val="22"/>
              </w:rPr>
            </w:pPr>
            <w:r>
              <w:rPr>
                <w:rFonts w:hint="eastAsia" w:ascii="宋体" w:hAnsi="宋体" w:cs="宋体"/>
                <w:color w:val="000000" w:themeColor="text1"/>
                <w:sz w:val="22"/>
                <w:szCs w:val="22"/>
              </w:rPr>
              <w:t>691</w:t>
            </w:r>
          </w:p>
        </w:tc>
        <w:tc>
          <w:tcPr>
            <w:tcW w:w="1029" w:type="dxa"/>
            <w:vAlign w:val="center"/>
          </w:tcPr>
          <w:p>
            <w:pPr>
              <w:spacing w:line="360" w:lineRule="auto"/>
              <w:jc w:val="center"/>
              <w:rPr>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Align w:val="center"/>
          </w:tcPr>
          <w:p>
            <w:pPr>
              <w:jc w:val="right"/>
              <w:rPr>
                <w:rFonts w:ascii="宋体" w:hAnsi="宋体" w:cs="宋体"/>
                <w:color w:val="000000" w:themeColor="text1"/>
                <w:sz w:val="22"/>
                <w:szCs w:val="22"/>
              </w:rPr>
            </w:pPr>
            <w:r>
              <w:rPr>
                <w:rFonts w:hint="eastAsia" w:ascii="宋体" w:hAnsi="宋体" w:cs="宋体"/>
                <w:color w:val="000000" w:themeColor="text1"/>
                <w:sz w:val="22"/>
                <w:szCs w:val="22"/>
              </w:rPr>
              <w:t>5</w:t>
            </w:r>
          </w:p>
        </w:tc>
        <w:tc>
          <w:tcPr>
            <w:tcW w:w="2693" w:type="dxa"/>
            <w:vAlign w:val="center"/>
          </w:tcPr>
          <w:p>
            <w:pPr>
              <w:rPr>
                <w:rFonts w:ascii="华文宋体" w:hAnsi="华文宋体" w:eastAsia="华文宋体" w:cs="宋体"/>
                <w:sz w:val="22"/>
                <w:szCs w:val="22"/>
              </w:rPr>
            </w:pPr>
          </w:p>
        </w:tc>
        <w:tc>
          <w:tcPr>
            <w:tcW w:w="1776" w:type="dxa"/>
            <w:vAlign w:val="center"/>
          </w:tcPr>
          <w:p>
            <w:pPr>
              <w:jc w:val="center"/>
              <w:rPr>
                <w:rFonts w:ascii="华文宋体" w:hAnsi="华文宋体" w:eastAsia="华文宋体" w:cs="宋体"/>
                <w:sz w:val="22"/>
                <w:szCs w:val="22"/>
              </w:rPr>
            </w:pPr>
          </w:p>
        </w:tc>
        <w:tc>
          <w:tcPr>
            <w:tcW w:w="855" w:type="dxa"/>
            <w:vAlign w:val="center"/>
          </w:tcPr>
          <w:p>
            <w:pPr>
              <w:spacing w:line="360" w:lineRule="auto"/>
              <w:rPr>
                <w:color w:val="000000" w:themeColor="text1"/>
                <w:sz w:val="24"/>
              </w:rPr>
            </w:pPr>
          </w:p>
        </w:tc>
        <w:tc>
          <w:tcPr>
            <w:tcW w:w="735" w:type="dxa"/>
            <w:vAlign w:val="center"/>
          </w:tcPr>
          <w:p>
            <w:pPr>
              <w:jc w:val="center"/>
              <w:rPr>
                <w:rFonts w:ascii="宋体" w:hAnsi="宋体" w:cs="宋体"/>
                <w:color w:val="000000" w:themeColor="text1"/>
                <w:sz w:val="22"/>
                <w:szCs w:val="22"/>
              </w:rPr>
            </w:pPr>
          </w:p>
        </w:tc>
        <w:tc>
          <w:tcPr>
            <w:tcW w:w="1275" w:type="dxa"/>
            <w:vAlign w:val="center"/>
          </w:tcPr>
          <w:p>
            <w:pPr>
              <w:jc w:val="center"/>
              <w:rPr>
                <w:rFonts w:ascii="宋体" w:hAnsi="宋体" w:cs="宋体"/>
                <w:color w:val="000000" w:themeColor="text1"/>
                <w:sz w:val="22"/>
                <w:szCs w:val="22"/>
              </w:rPr>
            </w:pPr>
          </w:p>
        </w:tc>
        <w:tc>
          <w:tcPr>
            <w:tcW w:w="1029" w:type="dxa"/>
            <w:vAlign w:val="center"/>
          </w:tcPr>
          <w:p>
            <w:pPr>
              <w:spacing w:line="360" w:lineRule="auto"/>
              <w:jc w:val="center"/>
              <w:rPr>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Align w:val="center"/>
          </w:tcPr>
          <w:p>
            <w:pPr>
              <w:jc w:val="right"/>
              <w:rPr>
                <w:rFonts w:ascii="宋体" w:hAnsi="宋体" w:cs="宋体"/>
                <w:color w:val="000000" w:themeColor="text1"/>
                <w:sz w:val="22"/>
                <w:szCs w:val="22"/>
              </w:rPr>
            </w:pPr>
            <w:r>
              <w:rPr>
                <w:rFonts w:hint="eastAsia" w:ascii="宋体" w:hAnsi="宋体" w:cs="宋体"/>
                <w:color w:val="000000" w:themeColor="text1"/>
                <w:sz w:val="22"/>
                <w:szCs w:val="22"/>
              </w:rPr>
              <w:t>6</w:t>
            </w:r>
          </w:p>
        </w:tc>
        <w:tc>
          <w:tcPr>
            <w:tcW w:w="2693" w:type="dxa"/>
            <w:vAlign w:val="center"/>
          </w:tcPr>
          <w:p>
            <w:pPr>
              <w:jc w:val="center"/>
              <w:rPr>
                <w:rFonts w:ascii="华文宋体" w:hAnsi="华文宋体" w:eastAsia="华文宋体" w:cs="宋体"/>
                <w:sz w:val="22"/>
                <w:szCs w:val="22"/>
              </w:rPr>
            </w:pPr>
          </w:p>
        </w:tc>
        <w:tc>
          <w:tcPr>
            <w:tcW w:w="1776" w:type="dxa"/>
            <w:vAlign w:val="center"/>
          </w:tcPr>
          <w:p>
            <w:pPr>
              <w:jc w:val="center"/>
              <w:rPr>
                <w:rFonts w:ascii="华文宋体" w:hAnsi="华文宋体" w:eastAsia="华文宋体" w:cs="宋体"/>
                <w:sz w:val="22"/>
                <w:szCs w:val="22"/>
              </w:rPr>
            </w:pPr>
          </w:p>
        </w:tc>
        <w:tc>
          <w:tcPr>
            <w:tcW w:w="855" w:type="dxa"/>
            <w:vAlign w:val="center"/>
          </w:tcPr>
          <w:p>
            <w:pPr>
              <w:spacing w:line="360" w:lineRule="auto"/>
              <w:rPr>
                <w:color w:val="000000" w:themeColor="text1"/>
                <w:sz w:val="24"/>
              </w:rPr>
            </w:pPr>
          </w:p>
        </w:tc>
        <w:tc>
          <w:tcPr>
            <w:tcW w:w="735" w:type="dxa"/>
            <w:vAlign w:val="center"/>
          </w:tcPr>
          <w:p>
            <w:pPr>
              <w:jc w:val="center"/>
              <w:rPr>
                <w:rFonts w:ascii="宋体" w:hAnsi="宋体" w:cs="宋体"/>
                <w:color w:val="000000" w:themeColor="text1"/>
                <w:sz w:val="22"/>
                <w:szCs w:val="22"/>
              </w:rPr>
            </w:pPr>
          </w:p>
        </w:tc>
        <w:tc>
          <w:tcPr>
            <w:tcW w:w="1275" w:type="dxa"/>
            <w:vAlign w:val="center"/>
          </w:tcPr>
          <w:p>
            <w:pPr>
              <w:jc w:val="center"/>
              <w:rPr>
                <w:rFonts w:ascii="宋体" w:hAnsi="宋体" w:cs="宋体"/>
                <w:color w:val="000000" w:themeColor="text1"/>
                <w:sz w:val="22"/>
                <w:szCs w:val="22"/>
              </w:rPr>
            </w:pPr>
          </w:p>
        </w:tc>
        <w:tc>
          <w:tcPr>
            <w:tcW w:w="1029" w:type="dxa"/>
            <w:vAlign w:val="center"/>
          </w:tcPr>
          <w:p>
            <w:pPr>
              <w:spacing w:line="360" w:lineRule="auto"/>
              <w:jc w:val="center"/>
              <w:rPr>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Align w:val="center"/>
          </w:tcPr>
          <w:p>
            <w:pPr>
              <w:jc w:val="right"/>
              <w:rPr>
                <w:rFonts w:ascii="宋体" w:hAnsi="宋体" w:cs="宋体"/>
                <w:color w:val="000000" w:themeColor="text1"/>
                <w:sz w:val="22"/>
                <w:szCs w:val="22"/>
              </w:rPr>
            </w:pPr>
            <w:r>
              <w:rPr>
                <w:rFonts w:hint="eastAsia" w:ascii="宋体" w:hAnsi="宋体" w:cs="宋体"/>
                <w:color w:val="000000" w:themeColor="text1"/>
                <w:sz w:val="22"/>
                <w:szCs w:val="22"/>
              </w:rPr>
              <w:t>7</w:t>
            </w:r>
          </w:p>
        </w:tc>
        <w:tc>
          <w:tcPr>
            <w:tcW w:w="2693" w:type="dxa"/>
            <w:vAlign w:val="center"/>
          </w:tcPr>
          <w:p>
            <w:pPr>
              <w:rPr>
                <w:rFonts w:ascii="宋体" w:hAnsi="宋体" w:cs="宋体"/>
                <w:sz w:val="24"/>
              </w:rPr>
            </w:pPr>
          </w:p>
        </w:tc>
        <w:tc>
          <w:tcPr>
            <w:tcW w:w="1776" w:type="dxa"/>
            <w:vAlign w:val="center"/>
          </w:tcPr>
          <w:p>
            <w:pPr>
              <w:rPr>
                <w:rFonts w:ascii="宋体" w:hAnsi="宋体" w:cs="宋体"/>
                <w:sz w:val="24"/>
              </w:rPr>
            </w:pPr>
          </w:p>
        </w:tc>
        <w:tc>
          <w:tcPr>
            <w:tcW w:w="855" w:type="dxa"/>
            <w:vAlign w:val="center"/>
          </w:tcPr>
          <w:p>
            <w:pPr>
              <w:spacing w:line="360" w:lineRule="auto"/>
              <w:rPr>
                <w:color w:val="000000" w:themeColor="text1"/>
                <w:sz w:val="24"/>
              </w:rPr>
            </w:pPr>
          </w:p>
        </w:tc>
        <w:tc>
          <w:tcPr>
            <w:tcW w:w="735" w:type="dxa"/>
            <w:vAlign w:val="center"/>
          </w:tcPr>
          <w:p>
            <w:pPr>
              <w:jc w:val="center"/>
              <w:rPr>
                <w:rFonts w:ascii="宋体" w:hAnsi="宋体" w:cs="宋体"/>
                <w:color w:val="000000" w:themeColor="text1"/>
                <w:sz w:val="22"/>
                <w:szCs w:val="22"/>
              </w:rPr>
            </w:pPr>
          </w:p>
        </w:tc>
        <w:tc>
          <w:tcPr>
            <w:tcW w:w="1275" w:type="dxa"/>
            <w:vAlign w:val="center"/>
          </w:tcPr>
          <w:p>
            <w:pPr>
              <w:jc w:val="center"/>
              <w:rPr>
                <w:rFonts w:ascii="宋体" w:hAnsi="宋体" w:cs="宋体"/>
                <w:color w:val="000000" w:themeColor="text1"/>
                <w:sz w:val="22"/>
                <w:szCs w:val="22"/>
              </w:rPr>
            </w:pPr>
          </w:p>
        </w:tc>
        <w:tc>
          <w:tcPr>
            <w:tcW w:w="1029" w:type="dxa"/>
            <w:vAlign w:val="center"/>
          </w:tcPr>
          <w:p>
            <w:pPr>
              <w:spacing w:line="360" w:lineRule="auto"/>
              <w:jc w:val="center"/>
              <w:rPr>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Align w:val="center"/>
          </w:tcPr>
          <w:p>
            <w:pPr>
              <w:jc w:val="right"/>
              <w:rPr>
                <w:rFonts w:ascii="宋体" w:hAnsi="宋体" w:cs="宋体"/>
                <w:color w:val="000000" w:themeColor="text1"/>
                <w:sz w:val="22"/>
                <w:szCs w:val="22"/>
              </w:rPr>
            </w:pPr>
            <w:r>
              <w:rPr>
                <w:rFonts w:hint="eastAsia" w:ascii="宋体" w:hAnsi="宋体" w:cs="宋体"/>
                <w:color w:val="000000" w:themeColor="text1"/>
                <w:sz w:val="22"/>
                <w:szCs w:val="22"/>
              </w:rPr>
              <w:t>8</w:t>
            </w:r>
          </w:p>
        </w:tc>
        <w:tc>
          <w:tcPr>
            <w:tcW w:w="2693" w:type="dxa"/>
            <w:vAlign w:val="center"/>
          </w:tcPr>
          <w:p>
            <w:pPr>
              <w:rPr>
                <w:rFonts w:ascii="宋体" w:hAnsi="宋体" w:cs="宋体"/>
                <w:sz w:val="24"/>
              </w:rPr>
            </w:pPr>
          </w:p>
        </w:tc>
        <w:tc>
          <w:tcPr>
            <w:tcW w:w="1776" w:type="dxa"/>
            <w:vAlign w:val="center"/>
          </w:tcPr>
          <w:p>
            <w:pPr>
              <w:rPr>
                <w:rFonts w:ascii="宋体" w:hAnsi="宋体" w:cs="宋体"/>
                <w:sz w:val="24"/>
              </w:rPr>
            </w:pPr>
          </w:p>
        </w:tc>
        <w:tc>
          <w:tcPr>
            <w:tcW w:w="855" w:type="dxa"/>
            <w:vAlign w:val="center"/>
          </w:tcPr>
          <w:p>
            <w:pPr>
              <w:spacing w:line="360" w:lineRule="auto"/>
              <w:rPr>
                <w:color w:val="000000" w:themeColor="text1"/>
                <w:sz w:val="24"/>
              </w:rPr>
            </w:pPr>
          </w:p>
        </w:tc>
        <w:tc>
          <w:tcPr>
            <w:tcW w:w="735" w:type="dxa"/>
            <w:vAlign w:val="center"/>
          </w:tcPr>
          <w:p>
            <w:pPr>
              <w:jc w:val="center"/>
              <w:rPr>
                <w:rFonts w:ascii="宋体" w:hAnsi="宋体" w:cs="宋体"/>
                <w:color w:val="000000" w:themeColor="text1"/>
                <w:sz w:val="22"/>
                <w:szCs w:val="22"/>
              </w:rPr>
            </w:pPr>
          </w:p>
        </w:tc>
        <w:tc>
          <w:tcPr>
            <w:tcW w:w="1275" w:type="dxa"/>
            <w:vAlign w:val="center"/>
          </w:tcPr>
          <w:p>
            <w:pPr>
              <w:jc w:val="center"/>
              <w:rPr>
                <w:rFonts w:ascii="宋体" w:hAnsi="宋体" w:cs="宋体"/>
                <w:color w:val="000000" w:themeColor="text1"/>
                <w:sz w:val="22"/>
                <w:szCs w:val="22"/>
              </w:rPr>
            </w:pPr>
          </w:p>
        </w:tc>
        <w:tc>
          <w:tcPr>
            <w:tcW w:w="1029" w:type="dxa"/>
            <w:vAlign w:val="center"/>
          </w:tcPr>
          <w:p>
            <w:pPr>
              <w:spacing w:line="360" w:lineRule="auto"/>
              <w:jc w:val="center"/>
              <w:rPr>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Align w:val="center"/>
          </w:tcPr>
          <w:p>
            <w:pPr>
              <w:jc w:val="right"/>
              <w:rPr>
                <w:rFonts w:ascii="宋体" w:hAnsi="宋体" w:cs="宋体"/>
                <w:color w:val="000000" w:themeColor="text1"/>
                <w:sz w:val="22"/>
                <w:szCs w:val="22"/>
              </w:rPr>
            </w:pPr>
            <w:r>
              <w:rPr>
                <w:rFonts w:hint="eastAsia" w:ascii="宋体" w:hAnsi="宋体" w:cs="宋体"/>
                <w:color w:val="000000" w:themeColor="text1"/>
                <w:sz w:val="22"/>
                <w:szCs w:val="22"/>
              </w:rPr>
              <w:t>9</w:t>
            </w:r>
          </w:p>
        </w:tc>
        <w:tc>
          <w:tcPr>
            <w:tcW w:w="2693" w:type="dxa"/>
            <w:vAlign w:val="center"/>
          </w:tcPr>
          <w:p>
            <w:pPr>
              <w:rPr>
                <w:rFonts w:ascii="宋体" w:hAnsi="宋体" w:cs="宋体"/>
                <w:sz w:val="24"/>
              </w:rPr>
            </w:pPr>
          </w:p>
        </w:tc>
        <w:tc>
          <w:tcPr>
            <w:tcW w:w="1776" w:type="dxa"/>
            <w:vAlign w:val="center"/>
          </w:tcPr>
          <w:p>
            <w:pPr>
              <w:rPr>
                <w:rFonts w:ascii="宋体" w:hAnsi="宋体" w:cs="宋体"/>
                <w:sz w:val="24"/>
              </w:rPr>
            </w:pPr>
          </w:p>
        </w:tc>
        <w:tc>
          <w:tcPr>
            <w:tcW w:w="855" w:type="dxa"/>
            <w:vAlign w:val="center"/>
          </w:tcPr>
          <w:p>
            <w:pPr>
              <w:spacing w:line="360" w:lineRule="auto"/>
              <w:rPr>
                <w:color w:val="000000" w:themeColor="text1"/>
                <w:sz w:val="24"/>
              </w:rPr>
            </w:pPr>
          </w:p>
        </w:tc>
        <w:tc>
          <w:tcPr>
            <w:tcW w:w="735" w:type="dxa"/>
            <w:vAlign w:val="center"/>
          </w:tcPr>
          <w:p>
            <w:pPr>
              <w:jc w:val="center"/>
              <w:rPr>
                <w:rFonts w:ascii="宋体" w:hAnsi="宋体" w:cs="宋体"/>
                <w:color w:val="000000" w:themeColor="text1"/>
                <w:sz w:val="22"/>
                <w:szCs w:val="22"/>
              </w:rPr>
            </w:pPr>
          </w:p>
        </w:tc>
        <w:tc>
          <w:tcPr>
            <w:tcW w:w="1275" w:type="dxa"/>
            <w:vAlign w:val="center"/>
          </w:tcPr>
          <w:p>
            <w:pPr>
              <w:jc w:val="center"/>
              <w:rPr>
                <w:rFonts w:ascii="宋体" w:hAnsi="宋体" w:cs="宋体"/>
                <w:color w:val="000000" w:themeColor="text1"/>
                <w:sz w:val="22"/>
                <w:szCs w:val="22"/>
              </w:rPr>
            </w:pPr>
          </w:p>
        </w:tc>
        <w:tc>
          <w:tcPr>
            <w:tcW w:w="1029" w:type="dxa"/>
            <w:vAlign w:val="center"/>
          </w:tcPr>
          <w:p>
            <w:pPr>
              <w:spacing w:line="360" w:lineRule="auto"/>
              <w:jc w:val="center"/>
              <w:rPr>
                <w:color w:val="000000" w:themeColor="text1"/>
                <w:sz w:val="24"/>
              </w:rPr>
            </w:pPr>
          </w:p>
        </w:tc>
      </w:tr>
    </w:tbl>
    <w:p>
      <w:pPr>
        <w:spacing w:line="360" w:lineRule="auto"/>
        <w:jc w:val="left"/>
        <w:rPr>
          <w:rFonts w:ascii="宋体" w:hAnsi="宋体" w:cs="宋体"/>
          <w:color w:val="000000" w:themeColor="text1"/>
          <w:kern w:val="0"/>
          <w:sz w:val="24"/>
          <w:lang w:bidi="ar-SA"/>
        </w:rPr>
      </w:pPr>
      <w:r>
        <w:rPr>
          <w:rFonts w:hint="eastAsia" w:ascii="宋体" w:hAnsi="宋体" w:cs="宋体"/>
          <w:color w:val="000000" w:themeColor="text1"/>
          <w:kern w:val="0"/>
          <w:sz w:val="24"/>
          <w:lang w:bidi="ar-SA"/>
        </w:rPr>
        <w:t>注解：以上价格含</w:t>
      </w:r>
      <w:r>
        <w:rPr>
          <w:rFonts w:ascii="宋体" w:hAnsi="宋体" w:cs="宋体"/>
          <w:color w:val="000000" w:themeColor="text1"/>
          <w:kern w:val="0"/>
          <w:sz w:val="24"/>
          <w:lang w:bidi="ar-SA"/>
        </w:rPr>
        <w:t>1</w:t>
      </w:r>
      <w:r>
        <w:rPr>
          <w:rFonts w:hint="eastAsia" w:ascii="宋体" w:hAnsi="宋体" w:cs="宋体"/>
          <w:color w:val="000000" w:themeColor="text1"/>
          <w:kern w:val="0"/>
          <w:sz w:val="24"/>
          <w:lang w:bidi="ar-SA"/>
        </w:rPr>
        <w:t>3</w:t>
      </w:r>
      <w:r>
        <w:rPr>
          <w:rFonts w:ascii="宋体" w:hAnsi="宋体" w:cs="宋体"/>
          <w:color w:val="000000" w:themeColor="text1"/>
          <w:kern w:val="0"/>
          <w:sz w:val="24"/>
          <w:lang w:bidi="ar-SA"/>
        </w:rPr>
        <w:t>%</w:t>
      </w:r>
      <w:r>
        <w:rPr>
          <w:rFonts w:hint="eastAsia" w:ascii="宋体" w:hAnsi="宋体" w:cs="宋体"/>
          <w:color w:val="000000" w:themeColor="text1"/>
          <w:kern w:val="0"/>
          <w:sz w:val="24"/>
          <w:lang w:bidi="ar-SA"/>
        </w:rPr>
        <w:t>增值税，运费、保险费、包装等其它所有费用。</w:t>
      </w:r>
      <w:r>
        <w:rPr>
          <w:rFonts w:hint="eastAsia"/>
          <w:color w:val="000000" w:themeColor="text1"/>
          <w:sz w:val="24"/>
        </w:rPr>
        <w:t>当国家增值税率调整时，含税价格按以下公式计算：未税价</w:t>
      </w:r>
      <w:r>
        <w:rPr>
          <w:rFonts w:hint="eastAsia" w:ascii="宋体" w:hAnsi="宋体"/>
          <w:color w:val="000000" w:themeColor="text1"/>
          <w:sz w:val="24"/>
        </w:rPr>
        <w:t>*</w:t>
      </w:r>
      <w:r>
        <w:rPr>
          <w:rFonts w:hint="eastAsia"/>
          <w:color w:val="000000" w:themeColor="text1"/>
          <w:sz w:val="24"/>
        </w:rPr>
        <w:t>(1+调整后增值税率)</w:t>
      </w:r>
    </w:p>
    <w:p>
      <w:pPr>
        <w:spacing w:line="360" w:lineRule="auto"/>
        <w:jc w:val="left"/>
        <w:rPr>
          <w:rFonts w:ascii="宋体" w:hAnsi="宋体" w:cs="宋体"/>
          <w:color w:val="000000" w:themeColor="text1"/>
          <w:kern w:val="0"/>
          <w:sz w:val="24"/>
          <w:lang w:bidi="ar-SA"/>
        </w:rPr>
      </w:pPr>
    </w:p>
    <w:p>
      <w:pPr>
        <w:spacing w:line="360" w:lineRule="auto"/>
        <w:jc w:val="left"/>
        <w:rPr>
          <w:rFonts w:ascii="宋体" w:hAnsi="宋体" w:cs="宋体"/>
          <w:color w:val="000000" w:themeColor="text1"/>
          <w:kern w:val="0"/>
          <w:sz w:val="24"/>
          <w:lang w:bidi="ar-SA"/>
        </w:rPr>
      </w:pPr>
    </w:p>
    <w:p>
      <w:pPr>
        <w:spacing w:line="480" w:lineRule="auto"/>
        <w:ind w:left="7010" w:leftChars="58" w:hanging="6888" w:hangingChars="2870"/>
        <w:rPr>
          <w:color w:val="000000" w:themeColor="text1"/>
          <w:sz w:val="24"/>
        </w:rPr>
      </w:pPr>
      <w:r>
        <w:rPr>
          <w:rFonts w:hint="eastAsia"/>
          <w:color w:val="000000" w:themeColor="text1"/>
          <w:sz w:val="24"/>
        </w:rPr>
        <w:t xml:space="preserve">需方：                                  供方： </w:t>
      </w:r>
      <w:r>
        <w:rPr>
          <w:color w:val="000000" w:themeColor="text1"/>
          <w:sz w:val="24"/>
        </w:rPr>
        <w:t xml:space="preserve"> </w:t>
      </w:r>
      <w:r>
        <w:rPr>
          <w:rFonts w:hint="eastAsia"/>
          <w:color w:val="FF0000"/>
          <w:sz w:val="24"/>
          <w:u w:val="single"/>
        </w:rPr>
        <w:t>河北光华荣汽车部件有限公司</w:t>
      </w:r>
    </w:p>
    <w:p>
      <w:pPr>
        <w:spacing w:line="480" w:lineRule="auto"/>
        <w:ind w:left="-359" w:leftChars="-171" w:firstLine="304" w:firstLineChars="127"/>
        <w:rPr>
          <w:color w:val="000000" w:themeColor="text1"/>
          <w:sz w:val="24"/>
        </w:rPr>
      </w:pPr>
    </w:p>
    <w:p>
      <w:pPr>
        <w:spacing w:line="480" w:lineRule="auto"/>
        <w:rPr>
          <w:color w:val="000000" w:themeColor="text1"/>
          <w:sz w:val="24"/>
        </w:rPr>
      </w:pPr>
    </w:p>
    <w:p>
      <w:pPr>
        <w:spacing w:line="480" w:lineRule="auto"/>
        <w:rPr>
          <w:color w:val="000000" w:themeColor="text1"/>
          <w:sz w:val="24"/>
        </w:rPr>
      </w:pPr>
      <w:r>
        <w:rPr>
          <w:rFonts w:hint="eastAsia"/>
          <w:color w:val="000000" w:themeColor="text1"/>
          <w:sz w:val="24"/>
        </w:rPr>
        <w:t xml:space="preserve">                 </w:t>
      </w:r>
    </w:p>
    <w:p>
      <w:pPr>
        <w:spacing w:line="360" w:lineRule="auto"/>
        <w:rPr>
          <w:color w:val="000000" w:themeColor="text1"/>
          <w:sz w:val="24"/>
        </w:rPr>
      </w:pPr>
    </w:p>
    <w:p>
      <w:pPr>
        <w:spacing w:line="360" w:lineRule="auto"/>
        <w:rPr>
          <w:color w:val="000000" w:themeColor="text1"/>
          <w:sz w:val="24"/>
        </w:rPr>
      </w:pPr>
      <w:r>
        <w:rPr>
          <w:rFonts w:hint="eastAsia"/>
          <w:color w:val="000000" w:themeColor="text1"/>
          <w:sz w:val="24"/>
        </w:rPr>
        <w:t>日期：  年  月  日                      日期：  2019 年 12  月 31  日</w:t>
      </w:r>
    </w:p>
    <w:p>
      <w:pPr>
        <w:ind w:right="2940" w:rightChars="1400"/>
        <w:jc w:val="left"/>
        <w:rPr>
          <w:rFonts w:ascii="宋体" w:hAnsi="宋体"/>
          <w:b/>
          <w:color w:val="000000" w:themeColor="text1"/>
          <w:sz w:val="32"/>
          <w:szCs w:val="32"/>
        </w:rPr>
      </w:pPr>
    </w:p>
    <w:p>
      <w:pPr>
        <w:ind w:right="2940" w:rightChars="1400"/>
        <w:jc w:val="left"/>
        <w:rPr>
          <w:rFonts w:ascii="宋体" w:hAnsi="宋体"/>
          <w:b/>
          <w:color w:val="000000" w:themeColor="text1"/>
          <w:sz w:val="32"/>
          <w:szCs w:val="32"/>
        </w:rPr>
      </w:pPr>
    </w:p>
    <w:p>
      <w:pPr>
        <w:ind w:right="2940" w:rightChars="1400"/>
        <w:jc w:val="left"/>
        <w:rPr>
          <w:rFonts w:ascii="宋体" w:hAnsi="宋体"/>
          <w:b/>
          <w:color w:val="000000" w:themeColor="text1"/>
          <w:sz w:val="32"/>
          <w:szCs w:val="32"/>
        </w:rPr>
      </w:pPr>
    </w:p>
    <w:p>
      <w:pPr>
        <w:ind w:right="2940" w:rightChars="1400"/>
        <w:jc w:val="left"/>
        <w:rPr>
          <w:rFonts w:ascii="宋体" w:hAnsi="宋体"/>
          <w:b/>
          <w:color w:val="000000" w:themeColor="text1"/>
          <w:sz w:val="32"/>
          <w:szCs w:val="32"/>
        </w:rPr>
      </w:pPr>
    </w:p>
    <w:p>
      <w:pPr>
        <w:ind w:right="2940" w:rightChars="1400"/>
        <w:jc w:val="left"/>
        <w:rPr>
          <w:b/>
          <w:color w:val="000000" w:themeColor="text1"/>
          <w:sz w:val="32"/>
          <w:szCs w:val="32"/>
        </w:rPr>
      </w:pPr>
      <w:r>
        <w:rPr>
          <w:rFonts w:hint="eastAsia" w:ascii="宋体" w:hAnsi="宋体"/>
          <w:b/>
          <w:color w:val="000000" w:themeColor="text1"/>
          <w:sz w:val="32"/>
          <w:szCs w:val="32"/>
        </w:rPr>
        <w:t>附件2：质量保证协议</w:t>
      </w:r>
    </w:p>
    <w:p>
      <w:pPr>
        <w:pStyle w:val="2"/>
        <w:numPr>
          <w:ilvl w:val="0"/>
          <w:numId w:val="3"/>
        </w:numPr>
        <w:spacing w:after="0" w:afterAutospacing="0"/>
        <w:rPr>
          <w:rFonts w:asciiTheme="minorEastAsia" w:hAnsiTheme="minorEastAsia" w:eastAsiaTheme="minorEastAsia" w:cstheme="minorEastAsia"/>
          <w:color w:val="000000" w:themeColor="text1"/>
          <w:sz w:val="28"/>
          <w:szCs w:val="28"/>
        </w:rPr>
      </w:pPr>
      <w:bookmarkStart w:id="0" w:name="_Toc501107784"/>
      <w:r>
        <w:rPr>
          <w:rFonts w:hint="eastAsia" w:asciiTheme="minorEastAsia" w:hAnsiTheme="minorEastAsia" w:eastAsiaTheme="minorEastAsia" w:cstheme="minorEastAsia"/>
          <w:color w:val="000000" w:themeColor="text1"/>
          <w:sz w:val="28"/>
          <w:szCs w:val="28"/>
        </w:rPr>
        <w:t>供应商质量能力</w:t>
      </w:r>
      <w:bookmarkEnd w:id="0"/>
    </w:p>
    <w:p>
      <w:pPr>
        <w:pStyle w:val="9"/>
        <w:spacing w:before="0" w:after="0"/>
        <w:ind w:firstLine="422"/>
        <w:jc w:val="left"/>
        <w:rPr>
          <w:rFonts w:asciiTheme="minorEastAsia" w:hAnsiTheme="minorEastAsia" w:eastAsiaTheme="minorEastAsia" w:cstheme="minorEastAsia"/>
          <w:color w:val="000000" w:themeColor="text1"/>
          <w:sz w:val="21"/>
          <w:szCs w:val="21"/>
        </w:rPr>
      </w:pPr>
      <w:bookmarkStart w:id="1" w:name="_Toc501107785"/>
      <w:r>
        <w:rPr>
          <w:rFonts w:hint="eastAsia" w:asciiTheme="minorEastAsia" w:hAnsiTheme="minorEastAsia" w:eastAsiaTheme="minorEastAsia" w:cstheme="minorEastAsia"/>
          <w:color w:val="000000" w:themeColor="text1"/>
          <w:sz w:val="21"/>
          <w:szCs w:val="21"/>
        </w:rPr>
        <w:t>1.1管理体系、产品认证及法规要求</w:t>
      </w:r>
      <w:bookmarkEnd w:id="1"/>
      <w:r>
        <w:rPr>
          <w:rFonts w:hint="eastAsia" w:asciiTheme="minorEastAsia" w:hAnsiTheme="minorEastAsia" w:eastAsiaTheme="minorEastAsia" w:cstheme="minorEastAsia"/>
          <w:color w:val="000000" w:themeColor="text1"/>
          <w:sz w:val="21"/>
          <w:szCs w:val="21"/>
        </w:rPr>
        <w:tab/>
      </w:r>
    </w:p>
    <w:p>
      <w:pPr>
        <w:pStyle w:val="15"/>
        <w:ind w:firstLine="417" w:firstLineChars="198"/>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b/>
          <w:color w:val="000000" w:themeColor="text1"/>
          <w:szCs w:val="21"/>
        </w:rPr>
        <w:t>1.1.1.</w:t>
      </w:r>
      <w:r>
        <w:rPr>
          <w:rFonts w:hint="eastAsia" w:asciiTheme="minorEastAsia" w:hAnsiTheme="minorEastAsia" w:eastAsiaTheme="minorEastAsia" w:cstheme="minorEastAsia"/>
          <w:color w:val="000000" w:themeColor="text1"/>
          <w:szCs w:val="21"/>
        </w:rPr>
        <w:t xml:space="preserve"> 需方与供方合作的前提条件是供方应按ISO 9001或IATF 16949最新有效版本标准建立质量管理体系，并获得有资质的第三方的认证证书。</w:t>
      </w:r>
    </w:p>
    <w:p>
      <w:pPr>
        <w:pStyle w:val="15"/>
        <w:spacing w:line="380" w:lineRule="exact"/>
        <w:ind w:firstLine="415" w:firstLineChars="198"/>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当证书内容变更时，供方应及时向需方及时提供最新版证书。</w:t>
      </w:r>
    </w:p>
    <w:p>
      <w:pPr>
        <w:pStyle w:val="15"/>
        <w:spacing w:line="380" w:lineRule="exact"/>
        <w:ind w:firstLine="417" w:firstLineChars="198"/>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b/>
          <w:color w:val="000000" w:themeColor="text1"/>
          <w:szCs w:val="21"/>
        </w:rPr>
        <w:t>1.1.2</w:t>
      </w:r>
      <w:r>
        <w:rPr>
          <w:rFonts w:hint="eastAsia" w:asciiTheme="minorEastAsia" w:hAnsiTheme="minorEastAsia" w:eastAsiaTheme="minorEastAsia" w:cstheme="minorEastAsia"/>
          <w:color w:val="000000" w:themeColor="text1"/>
          <w:szCs w:val="21"/>
        </w:rPr>
        <w:t>需3C认证、公告强检、环保认证的，供方应自付费用通过国家有关机构的检测和/或认证，并按规定提供检测报告，及在其产品上加施产品认证标志。</w:t>
      </w:r>
    </w:p>
    <w:p>
      <w:pPr>
        <w:pStyle w:val="15"/>
        <w:spacing w:line="380" w:lineRule="exact"/>
        <w:ind w:firstLine="415" w:firstLineChars="198"/>
        <w:rPr>
          <w:rFonts w:asciiTheme="minorEastAsia" w:hAnsiTheme="minorEastAsia" w:eastAsiaTheme="minorEastAsia" w:cstheme="minorEastAsia"/>
          <w:strike/>
          <w:color w:val="000000" w:themeColor="text1"/>
          <w:szCs w:val="21"/>
        </w:rPr>
      </w:pPr>
      <w:r>
        <w:rPr>
          <w:rFonts w:hint="eastAsia" w:asciiTheme="minorEastAsia" w:hAnsiTheme="minorEastAsia" w:eastAsiaTheme="minorEastAsia" w:cstheme="minorEastAsia"/>
          <w:color w:val="000000" w:themeColor="text1"/>
          <w:szCs w:val="21"/>
        </w:rPr>
        <w:t>供方应采取有效措施以保证3C认证证书持续有效，并向需方提供3C证书的扫描件和有效性保持证明的扫描件。</w:t>
      </w:r>
    </w:p>
    <w:p>
      <w:pPr>
        <w:pStyle w:val="15"/>
        <w:spacing w:line="380" w:lineRule="exact"/>
        <w:ind w:firstLine="422"/>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b/>
          <w:color w:val="000000" w:themeColor="text1"/>
          <w:szCs w:val="21"/>
        </w:rPr>
        <w:t>1.1.3.</w:t>
      </w:r>
      <w:r>
        <w:rPr>
          <w:rFonts w:hint="eastAsia" w:asciiTheme="minorEastAsia" w:hAnsiTheme="minorEastAsia" w:eastAsiaTheme="minorEastAsia" w:cstheme="minorEastAsia"/>
          <w:color w:val="000000" w:themeColor="text1"/>
          <w:szCs w:val="21"/>
        </w:rPr>
        <w:t>供方向需方供货的产品应达到制造场所所在地区对该种产品所规定的安全和环保标准要求。</w:t>
      </w:r>
    </w:p>
    <w:p>
      <w:pPr>
        <w:pStyle w:val="9"/>
        <w:spacing w:before="0" w:after="0"/>
        <w:ind w:firstLine="422"/>
        <w:jc w:val="left"/>
        <w:rPr>
          <w:rFonts w:asciiTheme="minorEastAsia" w:hAnsiTheme="minorEastAsia" w:eastAsiaTheme="minorEastAsia" w:cstheme="minorEastAsia"/>
          <w:color w:val="000000" w:themeColor="text1"/>
          <w:sz w:val="21"/>
          <w:szCs w:val="21"/>
        </w:rPr>
      </w:pPr>
      <w:bookmarkStart w:id="2" w:name="_Toc501107786"/>
      <w:r>
        <w:rPr>
          <w:rFonts w:hint="eastAsia" w:asciiTheme="minorEastAsia" w:hAnsiTheme="minorEastAsia" w:eastAsiaTheme="minorEastAsia" w:cstheme="minorEastAsia"/>
          <w:color w:val="000000" w:themeColor="text1"/>
          <w:sz w:val="21"/>
          <w:szCs w:val="21"/>
        </w:rPr>
        <w:t>1.2质量能力</w:t>
      </w:r>
      <w:bookmarkEnd w:id="2"/>
    </w:p>
    <w:p>
      <w:pPr>
        <w:pStyle w:val="15"/>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需方根据《供应商质量能力年度评审计划》，组织评审组对供应商的质量能力进行评价。</w:t>
      </w:r>
    </w:p>
    <w:p>
      <w:pPr>
        <w:pStyle w:val="15"/>
        <w:spacing w:line="380" w:lineRule="exact"/>
        <w:ind w:firstLine="422"/>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b/>
          <w:color w:val="000000" w:themeColor="text1"/>
          <w:szCs w:val="21"/>
        </w:rPr>
        <w:t>1.2.1</w:t>
      </w:r>
      <w:r>
        <w:rPr>
          <w:rFonts w:hint="eastAsia" w:asciiTheme="minorEastAsia" w:hAnsiTheme="minorEastAsia" w:eastAsiaTheme="minorEastAsia" w:cstheme="minorEastAsia"/>
          <w:color w:val="000000" w:themeColor="text1"/>
          <w:szCs w:val="21"/>
        </w:rPr>
        <w:t xml:space="preserve">质量能力的提高和持续改进是供方的职责和义务。供方应至少十二个月完成一次完整的内部过程审核，针对审核结果，制定改进计划并落实相应的措施，实现质量能力的持续改进。 </w:t>
      </w:r>
    </w:p>
    <w:p>
      <w:pPr>
        <w:pStyle w:val="9"/>
        <w:spacing w:before="0" w:after="0"/>
        <w:ind w:firstLine="422"/>
        <w:jc w:val="left"/>
        <w:rPr>
          <w:rFonts w:asciiTheme="minorEastAsia" w:hAnsiTheme="minorEastAsia" w:eastAsiaTheme="minorEastAsia" w:cstheme="minorEastAsia"/>
          <w:color w:val="000000" w:themeColor="text1"/>
          <w:sz w:val="21"/>
          <w:szCs w:val="21"/>
        </w:rPr>
      </w:pPr>
      <w:bookmarkStart w:id="3" w:name="_Toc501107787"/>
      <w:r>
        <w:rPr>
          <w:rFonts w:hint="eastAsia" w:asciiTheme="minorEastAsia" w:hAnsiTheme="minorEastAsia" w:eastAsiaTheme="minorEastAsia" w:cstheme="minorEastAsia"/>
          <w:color w:val="000000" w:themeColor="text1"/>
          <w:sz w:val="21"/>
          <w:szCs w:val="21"/>
        </w:rPr>
        <w:t>1.3质量保证措施</w:t>
      </w:r>
      <w:bookmarkEnd w:id="3"/>
    </w:p>
    <w:p>
      <w:pPr>
        <w:pStyle w:val="15"/>
        <w:ind w:firstLine="422"/>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b/>
          <w:color w:val="000000" w:themeColor="text1"/>
          <w:szCs w:val="21"/>
        </w:rPr>
        <w:t>1.3.1</w:t>
      </w:r>
      <w:r>
        <w:rPr>
          <w:rFonts w:hint="eastAsia" w:asciiTheme="minorEastAsia" w:hAnsiTheme="minorEastAsia" w:eastAsiaTheme="minorEastAsia" w:cstheme="minorEastAsia"/>
          <w:color w:val="000000" w:themeColor="text1"/>
          <w:szCs w:val="21"/>
        </w:rPr>
        <w:t>双方协定产品的重要特性及其工艺过程的重要特性，其检验监控手段及监控频次必须形成《供货检验基准书》；(附件2.2)</w:t>
      </w:r>
    </w:p>
    <w:p>
      <w:pPr>
        <w:pStyle w:val="15"/>
        <w:spacing w:line="380" w:lineRule="exact"/>
        <w:ind w:firstLine="422"/>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b/>
          <w:color w:val="000000" w:themeColor="text1"/>
          <w:szCs w:val="21"/>
        </w:rPr>
        <w:t>1.3.2</w:t>
      </w:r>
      <w:r>
        <w:rPr>
          <w:rFonts w:hint="eastAsia" w:asciiTheme="minorEastAsia" w:hAnsiTheme="minorEastAsia" w:eastAsiaTheme="minorEastAsia" w:cstheme="minorEastAsia"/>
          <w:color w:val="000000" w:themeColor="text1"/>
          <w:szCs w:val="21"/>
        </w:rPr>
        <w:t>需方确定供方质量目标，内容包括：审核完成率、一次交验合格率、质量问题整改率等。</w:t>
      </w:r>
    </w:p>
    <w:p>
      <w:pPr>
        <w:pStyle w:val="15"/>
        <w:spacing w:line="380" w:lineRule="exact"/>
        <w:ind w:left="840" w:firstLine="0" w:firstLineChars="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注：具体质量目标值以需方质量部每年组织与供方签订《供应商年度质量目标》为准。（附件2.4）</w:t>
      </w:r>
    </w:p>
    <w:p>
      <w:pPr>
        <w:pStyle w:val="15"/>
        <w:spacing w:line="380" w:lineRule="exact"/>
        <w:ind w:left="420" w:firstLine="0" w:firstLineChars="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b/>
          <w:color w:val="000000" w:themeColor="text1"/>
          <w:szCs w:val="21"/>
        </w:rPr>
        <w:t>1.3.3</w:t>
      </w:r>
      <w:r>
        <w:rPr>
          <w:rFonts w:hint="eastAsia" w:asciiTheme="minorEastAsia" w:hAnsiTheme="minorEastAsia" w:eastAsiaTheme="minorEastAsia" w:cstheme="minorEastAsia"/>
          <w:color w:val="000000" w:themeColor="text1"/>
          <w:szCs w:val="21"/>
        </w:rPr>
        <w:t>双方协定供方质量保证金数额（见采购合同）。</w:t>
      </w:r>
    </w:p>
    <w:p>
      <w:pPr>
        <w:pStyle w:val="15"/>
        <w:spacing w:line="380" w:lineRule="exact"/>
        <w:ind w:firstLine="422"/>
        <w:rPr>
          <w:rFonts w:asciiTheme="minorEastAsia" w:hAnsiTheme="minorEastAsia" w:eastAsiaTheme="minorEastAsia" w:cstheme="minorEastAsia"/>
          <w:strike/>
          <w:color w:val="000000" w:themeColor="text1"/>
          <w:szCs w:val="21"/>
        </w:rPr>
      </w:pPr>
      <w:r>
        <w:rPr>
          <w:rFonts w:hint="eastAsia" w:asciiTheme="minorEastAsia" w:hAnsiTheme="minorEastAsia" w:eastAsiaTheme="minorEastAsia" w:cstheme="minorEastAsia"/>
          <w:b/>
          <w:color w:val="000000" w:themeColor="text1"/>
          <w:szCs w:val="21"/>
        </w:rPr>
        <w:t>1.3.4</w:t>
      </w:r>
      <w:r>
        <w:rPr>
          <w:rFonts w:hint="eastAsia" w:asciiTheme="minorEastAsia" w:hAnsiTheme="minorEastAsia" w:eastAsiaTheme="minorEastAsia" w:cstheme="minorEastAsia"/>
          <w:color w:val="000000" w:themeColor="text1"/>
          <w:szCs w:val="21"/>
        </w:rPr>
        <w:t>供方应确保产品生产的全过程处于受控状态。如需方认为确有必要，需方可随时到供方或其分包商的现场就其经营状况进行考察、对生产过程进行审核和对产品质量进行检查，供方应给予积极配合。</w:t>
      </w:r>
    </w:p>
    <w:p>
      <w:pPr>
        <w:pStyle w:val="2"/>
        <w:numPr>
          <w:ilvl w:val="0"/>
          <w:numId w:val="3"/>
        </w:numPr>
        <w:spacing w:after="0" w:afterAutospacing="0"/>
        <w:rPr>
          <w:rFonts w:asciiTheme="minorEastAsia" w:hAnsiTheme="minorEastAsia" w:eastAsiaTheme="minorEastAsia" w:cstheme="minorEastAsia"/>
          <w:color w:val="000000" w:themeColor="text1"/>
          <w:sz w:val="28"/>
          <w:szCs w:val="28"/>
        </w:rPr>
      </w:pPr>
      <w:bookmarkStart w:id="4" w:name="_Toc501107789"/>
      <w:r>
        <w:rPr>
          <w:rFonts w:hint="eastAsia" w:asciiTheme="minorEastAsia" w:hAnsiTheme="minorEastAsia" w:eastAsiaTheme="minorEastAsia" w:cstheme="minorEastAsia"/>
          <w:color w:val="000000" w:themeColor="text1"/>
          <w:sz w:val="28"/>
          <w:szCs w:val="28"/>
        </w:rPr>
        <w:t>产品质量要求</w:t>
      </w:r>
      <w:bookmarkEnd w:id="4"/>
    </w:p>
    <w:p>
      <w:pPr>
        <w:spacing w:line="380" w:lineRule="exact"/>
        <w:ind w:firstLine="42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供方批量供货零件必须严格按照向需方批量供货认可时要求的检测手段和检验频次进行检测，并有责任和义务采取主动质量保证措施，确保所供零件满足需方质量要求。供方供货零件被确认存在缺陷，需方质量保证部将根据不同情况采取挑选使用、封存、索赔、停止供货等措施。缺陷发生后，供方必须立刻采取有效措施进行整改，主动消除缺陷零件所造成的影响。由于缺陷零件造成需方停产、返修、售后服务等损失，供方承担相应的一切责任，并赔偿需方因此造成的经济损失。</w:t>
      </w:r>
    </w:p>
    <w:p>
      <w:pPr>
        <w:pStyle w:val="15"/>
        <w:numPr>
          <w:ilvl w:val="0"/>
          <w:numId w:val="4"/>
        </w:numPr>
        <w:spacing w:line="380" w:lineRule="exact"/>
        <w:ind w:firstLineChars="0"/>
        <w:rPr>
          <w:rFonts w:asciiTheme="minorEastAsia" w:hAnsiTheme="minorEastAsia" w:eastAsiaTheme="minorEastAsia" w:cstheme="minorEastAsia"/>
          <w:vanish/>
          <w:color w:val="000000" w:themeColor="text1"/>
          <w:szCs w:val="21"/>
        </w:rPr>
      </w:pPr>
    </w:p>
    <w:p>
      <w:pPr>
        <w:pStyle w:val="15"/>
        <w:numPr>
          <w:ilvl w:val="0"/>
          <w:numId w:val="4"/>
        </w:numPr>
        <w:spacing w:line="380" w:lineRule="exact"/>
        <w:ind w:firstLineChars="0"/>
        <w:rPr>
          <w:rFonts w:asciiTheme="minorEastAsia" w:hAnsiTheme="minorEastAsia" w:eastAsiaTheme="minorEastAsia" w:cstheme="minorEastAsia"/>
          <w:vanish/>
          <w:color w:val="000000" w:themeColor="text1"/>
          <w:szCs w:val="21"/>
        </w:rPr>
      </w:pPr>
    </w:p>
    <w:p>
      <w:pPr>
        <w:pStyle w:val="15"/>
        <w:numPr>
          <w:ilvl w:val="0"/>
          <w:numId w:val="4"/>
        </w:numPr>
        <w:spacing w:line="380" w:lineRule="exact"/>
        <w:ind w:firstLineChars="0"/>
        <w:rPr>
          <w:rFonts w:asciiTheme="minorEastAsia" w:hAnsiTheme="minorEastAsia" w:eastAsiaTheme="minorEastAsia" w:cstheme="minorEastAsia"/>
          <w:vanish/>
          <w:color w:val="000000" w:themeColor="text1"/>
          <w:szCs w:val="21"/>
        </w:rPr>
      </w:pPr>
    </w:p>
    <w:p>
      <w:pPr>
        <w:pStyle w:val="15"/>
        <w:numPr>
          <w:ilvl w:val="0"/>
          <w:numId w:val="4"/>
        </w:numPr>
        <w:spacing w:line="380" w:lineRule="exact"/>
        <w:ind w:firstLineChars="0"/>
        <w:rPr>
          <w:rFonts w:asciiTheme="minorEastAsia" w:hAnsiTheme="minorEastAsia" w:eastAsiaTheme="minorEastAsia" w:cstheme="minorEastAsia"/>
          <w:vanish/>
          <w:color w:val="000000" w:themeColor="text1"/>
          <w:szCs w:val="21"/>
        </w:rPr>
      </w:pPr>
    </w:p>
    <w:p>
      <w:pPr>
        <w:pStyle w:val="15"/>
        <w:spacing w:line="380" w:lineRule="exact"/>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2.1供方交付给需方的产品应达到所有规定要求，并在产品交付前按《供货检验基准书》进行检验（包括产品实物、附带证明、实验报告、产品标识和包装防护等），以保证供给需方的产品达到零缺陷交付，防止不合格品从供方处流出，否则须承担交付不合格批次所导致的质量违约责任。</w:t>
      </w:r>
    </w:p>
    <w:p>
      <w:pPr>
        <w:pStyle w:val="15"/>
        <w:spacing w:line="380" w:lineRule="exact"/>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注：</w:t>
      </w:r>
      <w:r>
        <w:rPr>
          <w:rFonts w:hint="eastAsia" w:asciiTheme="minorEastAsia" w:hAnsiTheme="minorEastAsia" w:eastAsiaTheme="minorEastAsia" w:cstheme="minorEastAsia"/>
          <w:bCs/>
          <w:color w:val="000000" w:themeColor="text1"/>
          <w:szCs w:val="21"/>
        </w:rPr>
        <w:t>检验报告项目必须填写齐全，数据清晰规范，签署齐全并加盖质量单位的检测专用章方可有效，否则需方可以拒收。</w:t>
      </w:r>
    </w:p>
    <w:p>
      <w:pPr>
        <w:pStyle w:val="15"/>
        <w:spacing w:line="380" w:lineRule="exact"/>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2.2需方根据双方约定的检验标准，供方应定期进行产品审核；或当需方出于质量责任鉴定的需要时，需方将通知供方，可以从怀疑批供货件中抽样或提取故障件做破坏性试验，包括委外检测。检测费用，如供方需要报告，则由供方支付或需方代为扣付。</w:t>
      </w:r>
    </w:p>
    <w:p>
      <w:pPr>
        <w:pStyle w:val="15"/>
        <w:spacing w:line="380" w:lineRule="exact"/>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2.3需方有责任将供方产品从进货到售后所发生的质量问题信息及时反馈给供方，并为供方进行问题的处理和解决提供积极协助。供方应针对问题或目标进行分析，找出根本原因，制定纠正预防措施，并以书面的问题交流报告形式（《8D报告》或《PCR报告》）回复需方（紧急措施在一天内反馈，8D报告在一周内反馈）。</w:t>
      </w:r>
    </w:p>
    <w:p>
      <w:pPr>
        <w:pStyle w:val="15"/>
        <w:spacing w:line="380" w:lineRule="exact"/>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2.4如供方合同产品有质量问题发生，无论该问题产品在需方处、在市场销售中或已交付给最终用户，供方均应负责检查缺陷、分析原因，并及时给予纠正。同时将纠正措施提供给需方。 需方在符合法律法规要求范围内的，将尽可能的提供便利条件和经济处置方式。</w:t>
      </w:r>
    </w:p>
    <w:p>
      <w:pPr>
        <w:pStyle w:val="2"/>
        <w:numPr>
          <w:ilvl w:val="0"/>
          <w:numId w:val="3"/>
        </w:numPr>
        <w:spacing w:after="0" w:afterAutospacing="0"/>
        <w:rPr>
          <w:rFonts w:asciiTheme="minorEastAsia" w:hAnsiTheme="minorEastAsia" w:eastAsiaTheme="minorEastAsia" w:cstheme="minorEastAsia"/>
          <w:color w:val="000000" w:themeColor="text1"/>
          <w:sz w:val="28"/>
          <w:szCs w:val="28"/>
        </w:rPr>
      </w:pPr>
      <w:bookmarkStart w:id="5" w:name="_Toc501107790"/>
      <w:r>
        <w:rPr>
          <w:rFonts w:hint="eastAsia" w:asciiTheme="minorEastAsia" w:hAnsiTheme="minorEastAsia" w:eastAsiaTheme="minorEastAsia" w:cstheme="minorEastAsia"/>
          <w:color w:val="000000" w:themeColor="text1"/>
          <w:sz w:val="28"/>
          <w:szCs w:val="28"/>
        </w:rPr>
        <w:t>产品交付要求</w:t>
      </w:r>
      <w:bookmarkEnd w:id="5"/>
    </w:p>
    <w:p>
      <w:pPr>
        <w:pStyle w:val="15"/>
        <w:numPr>
          <w:ilvl w:val="0"/>
          <w:numId w:val="4"/>
        </w:numPr>
        <w:spacing w:line="380" w:lineRule="exact"/>
        <w:ind w:firstLineChars="0"/>
        <w:rPr>
          <w:rFonts w:asciiTheme="minorEastAsia" w:hAnsiTheme="minorEastAsia" w:eastAsiaTheme="minorEastAsia" w:cstheme="minorEastAsia"/>
          <w:vanish/>
          <w:color w:val="000000" w:themeColor="text1"/>
          <w:szCs w:val="21"/>
        </w:rPr>
      </w:pPr>
    </w:p>
    <w:p>
      <w:pPr>
        <w:pStyle w:val="15"/>
        <w:spacing w:line="380" w:lineRule="exact"/>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3.1每批供货时，供方合同产品应按需方的要求提交产品检验报告或出厂检验试验报告等合格证明文件；合格证明文件必须随货提交，否则需方有权对该批货物予以拒收。包装方案及运输方案应在试制件生产前由供方编制和提供，并报需方的采购或物流部门批准。</w:t>
      </w:r>
    </w:p>
    <w:p>
      <w:pPr>
        <w:pStyle w:val="15"/>
        <w:spacing w:line="380" w:lineRule="exact"/>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3.2供需双方通过会签《技术协议》和《供货检验基准书》确认统一的检验验收标准，需方有权要求供方必须配备必要的检测量具和仪器。</w:t>
      </w:r>
    </w:p>
    <w:p>
      <w:pPr>
        <w:pStyle w:val="2"/>
        <w:numPr>
          <w:ilvl w:val="0"/>
          <w:numId w:val="3"/>
        </w:numPr>
        <w:spacing w:after="0" w:afterAutospacing="0"/>
        <w:rPr>
          <w:rFonts w:asciiTheme="minorEastAsia" w:hAnsiTheme="minorEastAsia" w:eastAsiaTheme="minorEastAsia" w:cstheme="minorEastAsia"/>
          <w:color w:val="000000" w:themeColor="text1"/>
          <w:sz w:val="28"/>
          <w:szCs w:val="28"/>
        </w:rPr>
      </w:pPr>
      <w:bookmarkStart w:id="6" w:name="_Toc501107791"/>
      <w:r>
        <w:rPr>
          <w:rFonts w:hint="eastAsia" w:asciiTheme="minorEastAsia" w:hAnsiTheme="minorEastAsia" w:eastAsiaTheme="minorEastAsia" w:cstheme="minorEastAsia"/>
          <w:color w:val="000000" w:themeColor="text1"/>
          <w:sz w:val="28"/>
          <w:szCs w:val="28"/>
        </w:rPr>
        <w:t>质量索赔和处罚</w:t>
      </w:r>
      <w:bookmarkEnd w:id="6"/>
    </w:p>
    <w:p>
      <w:pPr>
        <w:pStyle w:val="15"/>
        <w:numPr>
          <w:ilvl w:val="0"/>
          <w:numId w:val="4"/>
        </w:numPr>
        <w:spacing w:line="380" w:lineRule="exact"/>
        <w:ind w:firstLineChars="0"/>
        <w:rPr>
          <w:rFonts w:asciiTheme="minorEastAsia" w:hAnsiTheme="minorEastAsia" w:eastAsiaTheme="minorEastAsia" w:cstheme="minorEastAsia"/>
          <w:b/>
          <w:vanish/>
          <w:color w:val="000000" w:themeColor="text1"/>
          <w:szCs w:val="21"/>
        </w:rPr>
      </w:pPr>
    </w:p>
    <w:p>
      <w:pPr>
        <w:pStyle w:val="15"/>
        <w:spacing w:line="380" w:lineRule="exact"/>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4.1供方产品在需方进货检验、制造过程、整车产品交付过程，以及AUDIT监督抽查和可靠性试验中出现质量问题、或需方产品售后出现供方责任的质量问题，供方除承担产品质量不合格给需方及第三方造成的损失赔偿外，还应按本协议的相关条款向需方支付质量责任违约金。</w:t>
      </w:r>
    </w:p>
    <w:p>
      <w:pPr>
        <w:pStyle w:val="15"/>
        <w:spacing w:line="380" w:lineRule="exact"/>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4.2供方应积极配合需方的质量改进要求，并在供需双方商定的时间内完成改进项目。若不能按时完成，供方应以书面形式告知需方申请延期。否则因未完成改进造成以下事项发生时需方有权开具《质量问题索赔单》向供方进行考核违约金或索赔，其涉及索赔事项包括：</w:t>
      </w:r>
    </w:p>
    <w:p>
      <w:pPr>
        <w:pStyle w:val="15"/>
        <w:spacing w:line="380" w:lineRule="exact"/>
        <w:ind w:firstLine="422"/>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b/>
          <w:color w:val="000000" w:themeColor="text1"/>
          <w:szCs w:val="21"/>
        </w:rPr>
        <w:t>1）</w:t>
      </w:r>
      <w:r>
        <w:rPr>
          <w:rFonts w:hint="eastAsia" w:asciiTheme="minorEastAsia" w:hAnsiTheme="minorEastAsia" w:eastAsiaTheme="minorEastAsia" w:cstheme="minorEastAsia"/>
          <w:color w:val="000000" w:themeColor="text1"/>
          <w:szCs w:val="21"/>
        </w:rPr>
        <w:t>零件挑选、退货和让步接收；</w:t>
      </w:r>
    </w:p>
    <w:p>
      <w:pPr>
        <w:pStyle w:val="15"/>
        <w:spacing w:line="380" w:lineRule="exact"/>
        <w:ind w:firstLine="422"/>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b/>
          <w:color w:val="000000" w:themeColor="text1"/>
          <w:szCs w:val="21"/>
        </w:rPr>
        <w:t>2）</w:t>
      </w:r>
      <w:r>
        <w:rPr>
          <w:rFonts w:hint="eastAsia" w:asciiTheme="minorEastAsia" w:hAnsiTheme="minorEastAsia" w:eastAsiaTheme="minorEastAsia" w:cstheme="minorEastAsia"/>
          <w:color w:val="000000" w:themeColor="text1"/>
          <w:szCs w:val="21"/>
        </w:rPr>
        <w:t>认可状态擅自变更，零件需重新认可；</w:t>
      </w:r>
    </w:p>
    <w:p>
      <w:pPr>
        <w:pStyle w:val="15"/>
        <w:spacing w:line="380" w:lineRule="exact"/>
        <w:ind w:firstLine="422"/>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b/>
          <w:color w:val="000000" w:themeColor="text1"/>
          <w:szCs w:val="21"/>
        </w:rPr>
        <w:t>3）</w:t>
      </w:r>
      <w:r>
        <w:rPr>
          <w:rFonts w:hint="eastAsia" w:asciiTheme="minorEastAsia" w:hAnsiTheme="minorEastAsia" w:eastAsiaTheme="minorEastAsia" w:cstheme="minorEastAsia"/>
          <w:color w:val="000000" w:themeColor="text1"/>
          <w:szCs w:val="21"/>
        </w:rPr>
        <w:t>导致整车整机返修、车辆滞留、生产停线、缺件下线、调整生产计划；</w:t>
      </w:r>
    </w:p>
    <w:p>
      <w:pPr>
        <w:pStyle w:val="15"/>
        <w:spacing w:line="380" w:lineRule="exact"/>
        <w:ind w:firstLine="422"/>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b/>
          <w:color w:val="000000" w:themeColor="text1"/>
          <w:szCs w:val="21"/>
        </w:rPr>
        <w:t>4）</w:t>
      </w:r>
      <w:r>
        <w:rPr>
          <w:rFonts w:hint="eastAsia" w:asciiTheme="minorEastAsia" w:hAnsiTheme="minorEastAsia" w:eastAsiaTheme="minorEastAsia" w:cstheme="minorEastAsia"/>
          <w:color w:val="000000" w:themeColor="text1"/>
          <w:szCs w:val="21"/>
        </w:rPr>
        <w:t>导致问题分析访问、审核、降级处理；</w:t>
      </w:r>
    </w:p>
    <w:p>
      <w:pPr>
        <w:pStyle w:val="15"/>
        <w:spacing w:line="380" w:lineRule="exact"/>
        <w:ind w:firstLine="422"/>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b/>
          <w:color w:val="000000" w:themeColor="text1"/>
          <w:szCs w:val="21"/>
        </w:rPr>
        <w:t>5）</w:t>
      </w:r>
      <w:r>
        <w:rPr>
          <w:rFonts w:hint="eastAsia" w:asciiTheme="minorEastAsia" w:hAnsiTheme="minorEastAsia" w:eastAsiaTheme="minorEastAsia" w:cstheme="minorEastAsia"/>
          <w:color w:val="000000" w:themeColor="text1"/>
        </w:rPr>
        <w:t>审核完成率、交付合格率不达标；</w:t>
      </w:r>
    </w:p>
    <w:p>
      <w:pPr>
        <w:pStyle w:val="15"/>
        <w:spacing w:line="380" w:lineRule="exact"/>
        <w:ind w:firstLine="422"/>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b/>
          <w:color w:val="000000" w:themeColor="text1"/>
          <w:szCs w:val="21"/>
        </w:rPr>
        <w:t>6）</w:t>
      </w:r>
      <w:r>
        <w:rPr>
          <w:rFonts w:hint="eastAsia" w:asciiTheme="minorEastAsia" w:hAnsiTheme="minorEastAsia" w:eastAsiaTheme="minorEastAsia" w:cstheme="minorEastAsia"/>
          <w:color w:val="000000" w:themeColor="text1"/>
          <w:szCs w:val="21"/>
        </w:rPr>
        <w:t>质量绩效不良，需需方进行技术或管理支持。</w:t>
      </w:r>
    </w:p>
    <w:p>
      <w:pPr>
        <w:pStyle w:val="15"/>
        <w:spacing w:line="380" w:lineRule="exact"/>
        <w:ind w:left="420" w:leftChars="200" w:firstLine="0" w:firstLineChars="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4.3其余索赔事项包括：</w:t>
      </w:r>
      <w:r>
        <w:rPr>
          <w:rFonts w:hint="eastAsia" w:asciiTheme="minorEastAsia" w:hAnsiTheme="minorEastAsia" w:eastAsiaTheme="minorEastAsia" w:cstheme="minorEastAsia"/>
          <w:color w:val="000000" w:themeColor="text1"/>
          <w:szCs w:val="21"/>
        </w:rPr>
        <w:tab/>
      </w:r>
      <w:r>
        <w:rPr>
          <w:rFonts w:hint="eastAsia" w:asciiTheme="minorEastAsia" w:hAnsiTheme="minorEastAsia" w:eastAsiaTheme="minorEastAsia" w:cstheme="minorEastAsia"/>
          <w:color w:val="000000" w:themeColor="text1"/>
          <w:szCs w:val="21"/>
        </w:rPr>
        <w:t>质量事故索赔。</w:t>
      </w:r>
    </w:p>
    <w:p>
      <w:pPr>
        <w:pStyle w:val="15"/>
        <w:spacing w:line="380" w:lineRule="exact"/>
        <w:ind w:left="420" w:leftChars="200" w:firstLine="0" w:firstLineChars="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4.4索赔依据及标准见本协议附件一。</w:t>
      </w:r>
    </w:p>
    <w:p>
      <w:pPr>
        <w:pStyle w:val="15"/>
        <w:spacing w:line="380" w:lineRule="exact"/>
        <w:ind w:left="42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注：对需方开具的《质量问题索赔单》，供方需在</w:t>
      </w:r>
      <w:r>
        <w:rPr>
          <w:rFonts w:hint="eastAsia" w:asciiTheme="minorEastAsia" w:hAnsiTheme="minorEastAsia" w:eastAsiaTheme="minorEastAsia" w:cstheme="minorEastAsia"/>
          <w:color w:val="000000" w:themeColor="text1"/>
          <w:szCs w:val="21"/>
          <w:u w:val="single"/>
        </w:rPr>
        <w:t xml:space="preserve">  5 </w:t>
      </w:r>
      <w:r>
        <w:rPr>
          <w:rFonts w:hint="eastAsia" w:asciiTheme="minorEastAsia" w:hAnsiTheme="minorEastAsia" w:eastAsiaTheme="minorEastAsia" w:cstheme="minorEastAsia"/>
          <w:color w:val="000000" w:themeColor="text1"/>
          <w:szCs w:val="21"/>
        </w:rPr>
        <w:t>个工作日内给予回复，否则以认同《质量问题索赔单》内容处理，需方财务将直接从供方货款或质量保证金中扣除索赔金额，日期以需方签发日期为起始日期。</w:t>
      </w:r>
    </w:p>
    <w:p>
      <w:pPr>
        <w:pStyle w:val="15"/>
        <w:numPr>
          <w:ilvl w:val="0"/>
          <w:numId w:val="5"/>
        </w:numPr>
        <w:spacing w:line="380" w:lineRule="exact"/>
        <w:ind w:firstLine="0" w:firstLineChars="0"/>
        <w:rPr>
          <w:rFonts w:asciiTheme="minorEastAsia" w:hAnsiTheme="minorEastAsia" w:eastAsiaTheme="minorEastAsia" w:cstheme="minorEastAsia"/>
          <w:b/>
          <w:bCs/>
          <w:color w:val="000000" w:themeColor="text1"/>
          <w:sz w:val="28"/>
          <w:szCs w:val="28"/>
        </w:rPr>
      </w:pPr>
      <w:r>
        <w:rPr>
          <w:rFonts w:hint="eastAsia" w:asciiTheme="minorEastAsia" w:hAnsiTheme="minorEastAsia" w:eastAsiaTheme="minorEastAsia" w:cstheme="minorEastAsia"/>
          <w:b/>
          <w:bCs/>
          <w:color w:val="000000" w:themeColor="text1"/>
          <w:sz w:val="28"/>
          <w:szCs w:val="28"/>
        </w:rPr>
        <w:t xml:space="preserve"> 附件为本协议之一部分，与本协议具有同等效力：</w:t>
      </w:r>
    </w:p>
    <w:p>
      <w:pPr>
        <w:pStyle w:val="2"/>
        <w:spacing w:before="0" w:beforeAutospacing="0" w:after="240" w:afterAutospacing="0"/>
        <w:rPr>
          <w:rFonts w:asciiTheme="minorEastAsia" w:hAnsiTheme="minorEastAsia" w:eastAsiaTheme="minorEastAsia" w:cstheme="minorEastAsia"/>
          <w:b w:val="0"/>
          <w:bCs w:val="0"/>
          <w:color w:val="000000" w:themeColor="text1"/>
          <w:sz w:val="21"/>
          <w:szCs w:val="21"/>
        </w:rPr>
      </w:pPr>
      <w:bookmarkStart w:id="7" w:name="_Toc501107795"/>
      <w:r>
        <w:rPr>
          <w:rFonts w:hint="eastAsia" w:asciiTheme="minorEastAsia" w:hAnsiTheme="minorEastAsia" w:eastAsiaTheme="minorEastAsia" w:cstheme="minorEastAsia"/>
          <w:color w:val="000000" w:themeColor="text1"/>
          <w:sz w:val="21"/>
          <w:szCs w:val="21"/>
        </w:rPr>
        <w:t xml:space="preserve">  </w:t>
      </w:r>
      <w:r>
        <w:rPr>
          <w:rFonts w:hint="eastAsia" w:asciiTheme="minorEastAsia" w:hAnsiTheme="minorEastAsia" w:eastAsiaTheme="minorEastAsia" w:cstheme="minorEastAsia"/>
          <w:b w:val="0"/>
          <w:bCs w:val="0"/>
          <w:color w:val="000000" w:themeColor="text1"/>
          <w:sz w:val="21"/>
          <w:szCs w:val="21"/>
        </w:rPr>
        <w:t xml:space="preserve">  附件2.1：对于质量保证协议质量索赔和处罚的补充说明</w:t>
      </w:r>
    </w:p>
    <w:p>
      <w:pPr>
        <w:pStyle w:val="2"/>
        <w:spacing w:before="0" w:beforeAutospacing="0" w:after="240" w:afterAutospacing="0"/>
        <w:ind w:firstLine="420" w:firstLineChars="200"/>
        <w:rPr>
          <w:rFonts w:asciiTheme="minorEastAsia" w:hAnsiTheme="minorEastAsia" w:eastAsiaTheme="minorEastAsia" w:cstheme="minorEastAsia"/>
          <w:b w:val="0"/>
          <w:bCs w:val="0"/>
          <w:color w:val="000000" w:themeColor="text1"/>
          <w:sz w:val="21"/>
          <w:szCs w:val="21"/>
        </w:rPr>
      </w:pPr>
      <w:r>
        <w:rPr>
          <w:rFonts w:hint="eastAsia" w:asciiTheme="minorEastAsia" w:hAnsiTheme="minorEastAsia" w:eastAsiaTheme="minorEastAsia" w:cstheme="minorEastAsia"/>
          <w:b w:val="0"/>
          <w:bCs w:val="0"/>
          <w:color w:val="000000" w:themeColor="text1"/>
          <w:sz w:val="21"/>
          <w:szCs w:val="21"/>
        </w:rPr>
        <w:t>附件2.2、供货检验基准书</w:t>
      </w:r>
    </w:p>
    <w:p>
      <w:pPr>
        <w:pStyle w:val="2"/>
        <w:spacing w:before="0" w:beforeAutospacing="0" w:after="240" w:afterAutospacing="0"/>
        <w:ind w:firstLine="420" w:firstLineChars="200"/>
        <w:rPr>
          <w:rFonts w:asciiTheme="minorEastAsia" w:hAnsiTheme="minorEastAsia" w:eastAsiaTheme="minorEastAsia" w:cstheme="minorEastAsia"/>
          <w:b w:val="0"/>
          <w:bCs w:val="0"/>
          <w:color w:val="000000" w:themeColor="text1"/>
          <w:sz w:val="21"/>
          <w:szCs w:val="21"/>
        </w:rPr>
      </w:pPr>
      <w:r>
        <w:rPr>
          <w:rFonts w:hint="eastAsia" w:asciiTheme="minorEastAsia" w:hAnsiTheme="minorEastAsia" w:eastAsiaTheme="minorEastAsia" w:cstheme="minorEastAsia"/>
          <w:b w:val="0"/>
          <w:bCs w:val="0"/>
          <w:color w:val="000000" w:themeColor="text1"/>
          <w:sz w:val="21"/>
          <w:szCs w:val="21"/>
        </w:rPr>
        <w:t>附件2.3：产品引用标准目录</w:t>
      </w:r>
    </w:p>
    <w:p>
      <w:pPr>
        <w:pStyle w:val="2"/>
        <w:spacing w:before="0" w:beforeAutospacing="0" w:after="240" w:afterAutospacing="0"/>
        <w:ind w:firstLine="420" w:firstLineChars="200"/>
        <w:rPr>
          <w:color w:val="000000" w:themeColor="text1"/>
          <w:sz w:val="21"/>
          <w:szCs w:val="21"/>
        </w:rPr>
      </w:pPr>
      <w:r>
        <w:rPr>
          <w:rFonts w:hint="eastAsia" w:asciiTheme="minorEastAsia" w:hAnsiTheme="minorEastAsia" w:eastAsiaTheme="minorEastAsia" w:cstheme="minorEastAsia"/>
          <w:b w:val="0"/>
          <w:bCs w:val="0"/>
          <w:color w:val="000000" w:themeColor="text1"/>
          <w:sz w:val="21"/>
          <w:szCs w:val="21"/>
        </w:rPr>
        <w:t>附件2.4：供应商年度质量目标</w:t>
      </w:r>
    </w:p>
    <w:p>
      <w:pPr>
        <w:pStyle w:val="2"/>
        <w:spacing w:before="0" w:beforeAutospacing="0" w:after="240" w:afterAutospacing="0"/>
        <w:rPr>
          <w:color w:val="000000" w:themeColor="text1"/>
          <w:sz w:val="28"/>
          <w:szCs w:val="28"/>
        </w:rPr>
      </w:pPr>
      <w:r>
        <w:rPr>
          <w:rFonts w:hint="eastAsia"/>
          <w:color w:val="000000" w:themeColor="text1"/>
          <w:sz w:val="28"/>
          <w:szCs w:val="28"/>
        </w:rPr>
        <w:t>附件2.1：对于质量保证协议质量索赔和处罚的补充说明</w:t>
      </w:r>
      <w:bookmarkEnd w:id="7"/>
    </w:p>
    <w:p>
      <w:pPr>
        <w:pStyle w:val="9"/>
        <w:spacing w:before="0" w:after="0"/>
        <w:ind w:firstLine="422"/>
        <w:jc w:val="left"/>
        <w:rPr>
          <w:rFonts w:asciiTheme="minorEastAsia" w:hAnsiTheme="minorEastAsia" w:eastAsiaTheme="minorEastAsia" w:cstheme="minorEastAsia"/>
          <w:color w:val="000000" w:themeColor="text1"/>
          <w:sz w:val="28"/>
          <w:szCs w:val="28"/>
        </w:rPr>
      </w:pPr>
      <w:bookmarkStart w:id="8" w:name="_Toc501107796"/>
      <w:r>
        <w:rPr>
          <w:rFonts w:hint="eastAsia" w:asciiTheme="minorEastAsia" w:hAnsiTheme="minorEastAsia" w:eastAsiaTheme="minorEastAsia" w:cstheme="minorEastAsia"/>
          <w:color w:val="000000" w:themeColor="text1"/>
          <w:sz w:val="28"/>
          <w:szCs w:val="28"/>
        </w:rPr>
        <w:t>（一）、进货检验</w:t>
      </w:r>
      <w:bookmarkEnd w:id="8"/>
    </w:p>
    <w:p>
      <w:pPr>
        <w:spacing w:line="380" w:lineRule="exact"/>
        <w:ind w:firstLine="420"/>
        <w:rPr>
          <w:rFonts w:ascii="宋体" w:hAnsi="宋体"/>
          <w:color w:val="000000" w:themeColor="text1"/>
          <w:szCs w:val="21"/>
        </w:rPr>
      </w:pPr>
      <w:r>
        <w:rPr>
          <w:rFonts w:hint="eastAsia" w:ascii="宋体" w:hAnsi="宋体"/>
          <w:color w:val="000000" w:themeColor="text1"/>
          <w:szCs w:val="21"/>
        </w:rPr>
        <w:t>1.进货检验、生产过程中发现不合格品，符合让步接收条件的，当准予让步接收第一次发生，对供方处以本批货值的</w:t>
      </w:r>
      <w:r>
        <w:rPr>
          <w:rFonts w:ascii="宋体" w:hAnsi="宋体"/>
          <w:color w:val="000000" w:themeColor="text1"/>
          <w:szCs w:val="21"/>
        </w:rPr>
        <w:t>3%</w:t>
      </w:r>
      <w:r>
        <w:rPr>
          <w:rFonts w:hint="eastAsia" w:ascii="宋体" w:hAnsi="宋体"/>
          <w:color w:val="000000" w:themeColor="text1"/>
          <w:szCs w:val="21"/>
        </w:rPr>
        <w:t>～5%的质量违约考核违约金；同种产品同样缺陷在供应商承诺整改完成期后重复发生时，对供方处以本批货值的</w:t>
      </w:r>
      <w:r>
        <w:rPr>
          <w:rFonts w:ascii="宋体" w:hAnsi="宋体"/>
          <w:color w:val="000000" w:themeColor="text1"/>
          <w:szCs w:val="21"/>
        </w:rPr>
        <w:t>6</w:t>
      </w:r>
      <w:r>
        <w:rPr>
          <w:rFonts w:hint="eastAsia" w:ascii="宋体" w:hAnsi="宋体"/>
          <w:color w:val="000000" w:themeColor="text1"/>
          <w:szCs w:val="21"/>
        </w:rPr>
        <w:t>%～1</w:t>
      </w:r>
      <w:r>
        <w:rPr>
          <w:rFonts w:ascii="宋体" w:hAnsi="宋体"/>
          <w:color w:val="000000" w:themeColor="text1"/>
          <w:szCs w:val="21"/>
        </w:rPr>
        <w:t>0%</w:t>
      </w:r>
      <w:r>
        <w:rPr>
          <w:rFonts w:hint="eastAsia" w:ascii="宋体" w:hAnsi="宋体"/>
          <w:color w:val="000000" w:themeColor="text1"/>
          <w:szCs w:val="21"/>
        </w:rPr>
        <w:t>的质量违约考核违约金；</w:t>
      </w:r>
    </w:p>
    <w:p>
      <w:pPr>
        <w:spacing w:line="380" w:lineRule="exact"/>
        <w:ind w:firstLine="420"/>
        <w:rPr>
          <w:rFonts w:ascii="宋体" w:hAnsi="宋体"/>
          <w:color w:val="000000" w:themeColor="text1"/>
          <w:szCs w:val="21"/>
        </w:rPr>
      </w:pPr>
      <w:r>
        <w:rPr>
          <w:rFonts w:hint="eastAsia" w:ascii="宋体" w:hAnsi="宋体"/>
          <w:color w:val="000000" w:themeColor="text1"/>
          <w:szCs w:val="21"/>
        </w:rPr>
        <w:t>2.若供应商将不合格品再次重复送货或混淆送货，对供应商处以本批货货物予以拒收并处以本批货值的15%以上的质量责任考核违约金；</w:t>
      </w:r>
    </w:p>
    <w:p>
      <w:pPr>
        <w:spacing w:line="380" w:lineRule="exact"/>
        <w:ind w:firstLine="420"/>
        <w:rPr>
          <w:rFonts w:ascii="宋体" w:hAnsi="宋体"/>
          <w:color w:val="000000" w:themeColor="text1"/>
          <w:szCs w:val="21"/>
        </w:rPr>
      </w:pPr>
      <w:r>
        <w:rPr>
          <w:rFonts w:hint="eastAsia" w:ascii="宋体" w:hAnsi="宋体"/>
          <w:color w:val="000000" w:themeColor="text1"/>
          <w:szCs w:val="21"/>
        </w:rPr>
        <w:t>3.由于供方合同产品不合格而在需方检验过程中被批量退货时，需方有权要求供方进行更换或补齐后再行签收，相关更换或补齐运输、仓储等工作由供方负责，相关费用由供方承担。若因此造成供方交货延迟的情况，供方应当承担交货延迟责任。</w:t>
      </w:r>
    </w:p>
    <w:p>
      <w:pPr>
        <w:spacing w:line="380" w:lineRule="exact"/>
        <w:ind w:firstLine="420"/>
        <w:rPr>
          <w:rFonts w:ascii="宋体" w:hAnsi="宋体"/>
          <w:strike/>
          <w:color w:val="000000" w:themeColor="text1"/>
          <w:szCs w:val="21"/>
        </w:rPr>
      </w:pPr>
      <w:r>
        <w:rPr>
          <w:rFonts w:hint="eastAsia" w:ascii="宋体" w:hAnsi="宋体"/>
          <w:color w:val="000000" w:themeColor="text1"/>
          <w:szCs w:val="21"/>
        </w:rPr>
        <w:t>注：供方需在收到需方退货通知的30天内安排退回，否则需方予以作废处理。</w:t>
      </w:r>
    </w:p>
    <w:p>
      <w:pPr>
        <w:pStyle w:val="9"/>
        <w:spacing w:before="0" w:after="0"/>
        <w:ind w:firstLine="422"/>
        <w:jc w:val="left"/>
        <w:rPr>
          <w:rFonts w:asciiTheme="minorEastAsia" w:hAnsiTheme="minorEastAsia" w:eastAsiaTheme="minorEastAsia" w:cstheme="minorEastAsia"/>
          <w:color w:val="000000" w:themeColor="text1"/>
          <w:sz w:val="28"/>
          <w:szCs w:val="28"/>
        </w:rPr>
      </w:pPr>
      <w:bookmarkStart w:id="9" w:name="_Toc501107797"/>
      <w:r>
        <w:rPr>
          <w:rFonts w:hint="eastAsia" w:asciiTheme="minorEastAsia" w:hAnsiTheme="minorEastAsia" w:eastAsiaTheme="minorEastAsia" w:cstheme="minorEastAsia"/>
          <w:color w:val="000000" w:themeColor="text1"/>
          <w:sz w:val="28"/>
          <w:szCs w:val="28"/>
        </w:rPr>
        <w:t>（二）、</w:t>
      </w:r>
      <w:bookmarkEnd w:id="9"/>
      <w:bookmarkStart w:id="10" w:name="_Toc501107798"/>
      <w:r>
        <w:rPr>
          <w:rFonts w:hint="eastAsia" w:asciiTheme="minorEastAsia" w:hAnsiTheme="minorEastAsia" w:eastAsiaTheme="minorEastAsia" w:cstheme="minorEastAsia"/>
          <w:color w:val="000000" w:themeColor="text1"/>
          <w:sz w:val="28"/>
          <w:szCs w:val="28"/>
        </w:rPr>
        <w:t>质量事故索赔</w:t>
      </w:r>
      <w:bookmarkEnd w:id="10"/>
    </w:p>
    <w:p>
      <w:pPr>
        <w:pStyle w:val="15"/>
        <w:spacing w:line="380" w:lineRule="exact"/>
        <w:ind w:firstLine="411" w:firstLineChars="196"/>
        <w:rPr>
          <w:rFonts w:ascii="宋体" w:hAnsi="宋体"/>
          <w:strike/>
          <w:color w:val="000000" w:themeColor="text1"/>
          <w:szCs w:val="21"/>
        </w:rPr>
      </w:pPr>
      <w:r>
        <w:rPr>
          <w:rFonts w:hint="eastAsia" w:ascii="宋体" w:hAnsi="宋体"/>
          <w:bCs/>
          <w:color w:val="000000" w:themeColor="text1"/>
          <w:szCs w:val="21"/>
        </w:rPr>
        <w:t>1.整</w:t>
      </w:r>
      <w:r>
        <w:rPr>
          <w:rFonts w:hint="eastAsia" w:ascii="宋体" w:hAnsi="宋体"/>
          <w:color w:val="000000" w:themeColor="text1"/>
          <w:szCs w:val="21"/>
        </w:rPr>
        <w:t>车可靠性试验发现的因供方责任造成的故障，根据</w:t>
      </w:r>
      <w:r>
        <w:rPr>
          <w:rFonts w:ascii="宋体" w:hAnsi="宋体"/>
          <w:color w:val="000000" w:themeColor="text1"/>
          <w:szCs w:val="21"/>
        </w:rPr>
        <w:t>QC/T900-1997</w:t>
      </w:r>
      <w:r>
        <w:rPr>
          <w:rFonts w:hint="eastAsia" w:ascii="宋体" w:hAnsi="宋体"/>
          <w:color w:val="000000" w:themeColor="text1"/>
          <w:szCs w:val="21"/>
        </w:rPr>
        <w:t>“汽车整车产品质量检验评定方法”的致命故障、严重故障、一般故障分类，供方分别按照致命故障、严重故障、一般故障赔偿。</w:t>
      </w:r>
    </w:p>
    <w:p>
      <w:pPr>
        <w:pStyle w:val="15"/>
        <w:spacing w:line="380" w:lineRule="exact"/>
        <w:ind w:firstLine="411" w:firstLineChars="196"/>
        <w:rPr>
          <w:rFonts w:ascii="宋体" w:hAnsi="宋体"/>
          <w:color w:val="000000" w:themeColor="text1"/>
          <w:szCs w:val="21"/>
        </w:rPr>
      </w:pPr>
      <w:r>
        <w:rPr>
          <w:rFonts w:hint="eastAsia" w:ascii="宋体" w:hAnsi="宋体"/>
          <w:bCs/>
          <w:color w:val="000000" w:themeColor="text1"/>
          <w:szCs w:val="21"/>
        </w:rPr>
        <w:t>2.在部件或整车生产一致性、质量耐久性监督抽查发现的供方质量责任问题分四类落实赔偿，赔偿额度按</w:t>
      </w:r>
      <w:r>
        <w:rPr>
          <w:rFonts w:hint="eastAsia" w:ascii="宋体" w:hAnsi="宋体"/>
          <w:color w:val="000000" w:themeColor="text1"/>
          <w:szCs w:val="21"/>
        </w:rPr>
        <w:t>下表执行。当该检查是由国家相关部门实施并发现时，供方应承担全部检测费用、质量违约索赔直至召回。</w:t>
      </w:r>
    </w:p>
    <w:tbl>
      <w:tblPr>
        <w:tblStyle w:val="10"/>
        <w:tblW w:w="9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1560"/>
        <w:gridCol w:w="6095"/>
        <w:gridCol w:w="1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atLeast"/>
          <w:jc w:val="center"/>
        </w:trPr>
        <w:tc>
          <w:tcPr>
            <w:tcW w:w="4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b/>
                <w:color w:val="000000" w:themeColor="text1"/>
                <w:szCs w:val="21"/>
              </w:rPr>
            </w:pPr>
            <w:r>
              <w:rPr>
                <w:rFonts w:hint="eastAsia" w:ascii="宋体" w:hAnsi="宋体"/>
                <w:b/>
                <w:color w:val="000000" w:themeColor="text1"/>
                <w:szCs w:val="21"/>
              </w:rPr>
              <w:t>分类</w:t>
            </w:r>
          </w:p>
        </w:tc>
        <w:tc>
          <w:tcPr>
            <w:tcW w:w="15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b/>
                <w:color w:val="000000" w:themeColor="text1"/>
                <w:szCs w:val="21"/>
              </w:rPr>
            </w:pPr>
            <w:r>
              <w:rPr>
                <w:rFonts w:hint="eastAsia" w:ascii="宋体" w:hAnsi="宋体"/>
                <w:b/>
                <w:color w:val="000000" w:themeColor="text1"/>
                <w:szCs w:val="21"/>
              </w:rPr>
              <w:t>重 要 性</w:t>
            </w:r>
          </w:p>
        </w:tc>
        <w:tc>
          <w:tcPr>
            <w:tcW w:w="60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b/>
                <w:color w:val="000000" w:themeColor="text1"/>
                <w:szCs w:val="21"/>
              </w:rPr>
            </w:pPr>
            <w:r>
              <w:rPr>
                <w:rFonts w:hint="eastAsia" w:ascii="宋体" w:hAnsi="宋体"/>
                <w:b/>
                <w:color w:val="000000" w:themeColor="text1"/>
                <w:szCs w:val="21"/>
              </w:rPr>
              <w:t>产 品 质 量 问 题 的 描 述</w:t>
            </w:r>
          </w:p>
        </w:tc>
        <w:tc>
          <w:tcPr>
            <w:tcW w:w="145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b/>
                <w:color w:val="000000" w:themeColor="text1"/>
                <w:szCs w:val="21"/>
              </w:rPr>
            </w:pPr>
            <w:r>
              <w:rPr>
                <w:rFonts w:hint="eastAsia" w:ascii="宋体" w:hAnsi="宋体"/>
                <w:b/>
                <w:color w:val="000000" w:themeColor="text1"/>
                <w:szCs w:val="21"/>
              </w:rPr>
              <w:t>考核违约金金额</w:t>
            </w:r>
          </w:p>
          <w:p>
            <w:pPr>
              <w:spacing w:line="320" w:lineRule="exact"/>
              <w:jc w:val="center"/>
              <w:rPr>
                <w:rFonts w:ascii="宋体" w:hAnsi="宋体"/>
                <w:b/>
                <w:color w:val="000000" w:themeColor="text1"/>
                <w:szCs w:val="21"/>
              </w:rPr>
            </w:pPr>
            <w:r>
              <w:rPr>
                <w:rFonts w:hint="eastAsia" w:ascii="宋体" w:hAnsi="宋体"/>
                <w:b/>
                <w:color w:val="000000" w:themeColor="text1"/>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4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000000" w:themeColor="text1"/>
                <w:szCs w:val="21"/>
              </w:rPr>
            </w:pPr>
            <w:r>
              <w:rPr>
                <w:rFonts w:hint="eastAsia" w:ascii="宋体" w:hAnsi="宋体"/>
                <w:color w:val="000000" w:themeColor="text1"/>
                <w:szCs w:val="21"/>
              </w:rPr>
              <w:t>1</w:t>
            </w:r>
          </w:p>
        </w:tc>
        <w:tc>
          <w:tcPr>
            <w:tcW w:w="1560"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olor w:val="000000" w:themeColor="text1"/>
                <w:szCs w:val="21"/>
              </w:rPr>
            </w:pPr>
            <w:r>
              <w:rPr>
                <w:rFonts w:hint="eastAsia" w:ascii="宋体" w:hAnsi="宋体"/>
                <w:color w:val="000000" w:themeColor="text1"/>
                <w:szCs w:val="21"/>
              </w:rPr>
              <w:t>致命质量问题</w:t>
            </w:r>
          </w:p>
        </w:tc>
        <w:tc>
          <w:tcPr>
            <w:tcW w:w="6095"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olor w:val="000000" w:themeColor="text1"/>
                <w:szCs w:val="21"/>
              </w:rPr>
            </w:pPr>
            <w:r>
              <w:rPr>
                <w:rFonts w:hint="eastAsia" w:ascii="宋体" w:hAnsi="宋体"/>
                <w:color w:val="000000" w:themeColor="text1"/>
                <w:szCs w:val="21"/>
              </w:rPr>
              <w:t>涉及安全隐患,会导致安全事故。</w:t>
            </w:r>
          </w:p>
        </w:tc>
        <w:tc>
          <w:tcPr>
            <w:tcW w:w="1454"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olor w:val="000000" w:themeColor="text1"/>
                <w:szCs w:val="21"/>
              </w:rPr>
            </w:pPr>
            <w:r>
              <w:rPr>
                <w:rFonts w:hint="eastAsia" w:ascii="宋体" w:hAnsi="宋体"/>
                <w:color w:val="000000" w:themeColor="text1"/>
                <w:szCs w:val="21"/>
              </w:rPr>
              <w:t>20000/缺陷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4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000000" w:themeColor="text1"/>
                <w:szCs w:val="21"/>
              </w:rPr>
            </w:pPr>
            <w:r>
              <w:rPr>
                <w:rFonts w:hint="eastAsia" w:ascii="宋体" w:hAnsi="宋体"/>
                <w:color w:val="000000" w:themeColor="text1"/>
                <w:szCs w:val="21"/>
              </w:rPr>
              <w:t>2</w:t>
            </w:r>
          </w:p>
        </w:tc>
        <w:tc>
          <w:tcPr>
            <w:tcW w:w="1560"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olor w:val="000000" w:themeColor="text1"/>
                <w:szCs w:val="21"/>
              </w:rPr>
            </w:pPr>
            <w:r>
              <w:rPr>
                <w:rFonts w:hint="eastAsia" w:ascii="宋体" w:hAnsi="宋体"/>
                <w:color w:val="000000" w:themeColor="text1"/>
                <w:szCs w:val="21"/>
              </w:rPr>
              <w:t>严重质量问题</w:t>
            </w:r>
          </w:p>
        </w:tc>
        <w:tc>
          <w:tcPr>
            <w:tcW w:w="6095"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olor w:val="000000" w:themeColor="text1"/>
                <w:szCs w:val="21"/>
              </w:rPr>
            </w:pPr>
            <w:r>
              <w:rPr>
                <w:rFonts w:hint="eastAsia" w:ascii="宋体" w:hAnsi="宋体"/>
                <w:color w:val="000000" w:themeColor="text1"/>
                <w:szCs w:val="21"/>
              </w:rPr>
              <w:t>影响产品的寿命与可靠性，造成车辆主要功能失效。</w:t>
            </w:r>
          </w:p>
        </w:tc>
        <w:tc>
          <w:tcPr>
            <w:tcW w:w="1454"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olor w:val="000000" w:themeColor="text1"/>
                <w:szCs w:val="21"/>
              </w:rPr>
            </w:pPr>
            <w:r>
              <w:rPr>
                <w:rFonts w:hint="eastAsia" w:ascii="宋体" w:hAnsi="宋体"/>
                <w:color w:val="000000" w:themeColor="text1"/>
                <w:szCs w:val="21"/>
              </w:rPr>
              <w:t>3000-10000/缺陷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4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000000" w:themeColor="text1"/>
                <w:szCs w:val="21"/>
              </w:rPr>
            </w:pPr>
            <w:r>
              <w:rPr>
                <w:rFonts w:hint="eastAsia" w:ascii="宋体" w:hAnsi="宋体"/>
                <w:color w:val="000000" w:themeColor="text1"/>
                <w:szCs w:val="21"/>
              </w:rPr>
              <w:t>3</w:t>
            </w:r>
          </w:p>
        </w:tc>
        <w:tc>
          <w:tcPr>
            <w:tcW w:w="1560"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olor w:val="000000" w:themeColor="text1"/>
                <w:szCs w:val="21"/>
              </w:rPr>
            </w:pPr>
            <w:r>
              <w:rPr>
                <w:rFonts w:hint="eastAsia" w:ascii="宋体" w:hAnsi="宋体"/>
                <w:color w:val="000000" w:themeColor="text1"/>
                <w:szCs w:val="21"/>
              </w:rPr>
              <w:t>一般质量问题</w:t>
            </w:r>
          </w:p>
        </w:tc>
        <w:tc>
          <w:tcPr>
            <w:tcW w:w="6095"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olor w:val="000000" w:themeColor="text1"/>
                <w:szCs w:val="21"/>
              </w:rPr>
            </w:pPr>
            <w:r>
              <w:rPr>
                <w:rFonts w:hint="eastAsia" w:ascii="宋体" w:hAnsi="宋体"/>
                <w:color w:val="000000" w:themeColor="text1"/>
                <w:szCs w:val="21"/>
              </w:rPr>
              <w:t>造成产品一般功能失效。</w:t>
            </w:r>
          </w:p>
        </w:tc>
        <w:tc>
          <w:tcPr>
            <w:tcW w:w="1454"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olor w:val="000000" w:themeColor="text1"/>
                <w:szCs w:val="21"/>
              </w:rPr>
            </w:pPr>
            <w:r>
              <w:rPr>
                <w:rFonts w:hint="eastAsia" w:ascii="宋体" w:hAnsi="宋体"/>
                <w:color w:val="000000" w:themeColor="text1"/>
                <w:szCs w:val="21"/>
              </w:rPr>
              <w:t>200-</w:t>
            </w:r>
            <w:r>
              <w:rPr>
                <w:rFonts w:ascii="宋体" w:hAnsi="宋体"/>
                <w:color w:val="000000" w:themeColor="text1"/>
                <w:szCs w:val="21"/>
              </w:rPr>
              <w:t>3</w:t>
            </w:r>
            <w:r>
              <w:rPr>
                <w:rFonts w:hint="eastAsia" w:ascii="宋体" w:hAnsi="宋体"/>
                <w:color w:val="000000" w:themeColor="text1"/>
                <w:szCs w:val="21"/>
              </w:rPr>
              <w:t>000/缺陷</w:t>
            </w:r>
          </w:p>
        </w:tc>
      </w:tr>
    </w:tbl>
    <w:p>
      <w:pPr>
        <w:pStyle w:val="15"/>
        <w:spacing w:line="380" w:lineRule="exact"/>
        <w:ind w:firstLine="417" w:firstLineChars="199"/>
        <w:rPr>
          <w:rFonts w:ascii="宋体" w:hAnsi="宋体"/>
          <w:bCs/>
          <w:color w:val="000000" w:themeColor="text1"/>
          <w:szCs w:val="21"/>
        </w:rPr>
      </w:pPr>
      <w:r>
        <w:rPr>
          <w:rFonts w:hint="eastAsia" w:ascii="宋体" w:hAnsi="宋体"/>
          <w:bCs/>
          <w:color w:val="000000" w:themeColor="text1"/>
          <w:szCs w:val="21"/>
        </w:rPr>
        <w:t>3.质量事故鉴定中如确认供方有提交虚假检测报告的，违约金按每次</w:t>
      </w:r>
      <w:r>
        <w:rPr>
          <w:rFonts w:ascii="宋体" w:hAnsi="宋体"/>
          <w:bCs/>
          <w:color w:val="000000" w:themeColor="text1"/>
          <w:szCs w:val="21"/>
        </w:rPr>
        <w:t>5000~10000</w:t>
      </w:r>
      <w:r>
        <w:rPr>
          <w:rFonts w:hint="eastAsia" w:ascii="宋体" w:hAnsi="宋体"/>
          <w:bCs/>
          <w:color w:val="000000" w:themeColor="text1"/>
          <w:szCs w:val="21"/>
        </w:rPr>
        <w:t>元向供方索赔。</w:t>
      </w:r>
    </w:p>
    <w:p>
      <w:pPr>
        <w:pStyle w:val="15"/>
        <w:spacing w:line="380" w:lineRule="exact"/>
        <w:ind w:firstLine="411" w:firstLineChars="196"/>
        <w:rPr>
          <w:rFonts w:ascii="宋体" w:hAnsi="宋体"/>
          <w:color w:val="000000" w:themeColor="text1"/>
          <w:szCs w:val="21"/>
        </w:rPr>
      </w:pPr>
      <w:r>
        <w:rPr>
          <w:rFonts w:hint="eastAsia" w:ascii="宋体" w:hAnsi="宋体"/>
          <w:bCs/>
          <w:color w:val="000000" w:themeColor="text1"/>
          <w:szCs w:val="21"/>
        </w:rPr>
        <w:t>4.一</w:t>
      </w:r>
      <w:r>
        <w:rPr>
          <w:rFonts w:hint="eastAsia" w:ascii="宋体" w:hAnsi="宋体"/>
          <w:color w:val="000000" w:themeColor="text1"/>
          <w:szCs w:val="21"/>
        </w:rPr>
        <w:t>种总成、零部件的同一个质量问题在多个环节发生索赔时，以合计的索赔额计算；质量违约考核违约金以最高考核违约金额度为准，不重复计算。</w:t>
      </w:r>
    </w:p>
    <w:p>
      <w:pPr>
        <w:pStyle w:val="9"/>
        <w:spacing w:before="0" w:after="0"/>
        <w:ind w:firstLine="422"/>
        <w:jc w:val="left"/>
        <w:rPr>
          <w:color w:val="000000" w:themeColor="text1"/>
          <w:sz w:val="28"/>
          <w:szCs w:val="28"/>
        </w:rPr>
      </w:pPr>
      <w:bookmarkStart w:id="11" w:name="_Toc501107799"/>
      <w:r>
        <w:rPr>
          <w:rFonts w:hint="eastAsia"/>
          <w:color w:val="000000" w:themeColor="text1"/>
          <w:sz w:val="28"/>
          <w:szCs w:val="28"/>
        </w:rPr>
        <w:t>（三）、质量服务相关费用</w:t>
      </w:r>
      <w:bookmarkEnd w:id="11"/>
    </w:p>
    <w:p>
      <w:pPr>
        <w:pStyle w:val="15"/>
        <w:spacing w:line="380" w:lineRule="exact"/>
        <w:ind w:firstLine="417" w:firstLineChars="199"/>
        <w:rPr>
          <w:rFonts w:ascii="宋体" w:hAnsi="宋体"/>
          <w:bCs/>
          <w:color w:val="000000" w:themeColor="text1"/>
          <w:szCs w:val="21"/>
        </w:rPr>
      </w:pPr>
      <w:r>
        <w:rPr>
          <w:rFonts w:hint="eastAsia" w:ascii="宋体" w:hAnsi="宋体"/>
          <w:bCs/>
          <w:color w:val="000000" w:themeColor="text1"/>
          <w:szCs w:val="21"/>
        </w:rPr>
        <w:t>1.供方发生产品质量问题接到需方通知后，如供方委托需方代为返工、返修的，其费用由供方承担。返工返修费用以6</w:t>
      </w:r>
      <w:r>
        <w:rPr>
          <w:rFonts w:ascii="宋体" w:hAnsi="宋体"/>
          <w:bCs/>
          <w:color w:val="000000" w:themeColor="text1"/>
          <w:szCs w:val="21"/>
        </w:rPr>
        <w:t>0</w:t>
      </w:r>
      <w:r>
        <w:rPr>
          <w:rFonts w:hint="eastAsia" w:ascii="宋体" w:hAnsi="宋体"/>
          <w:bCs/>
          <w:color w:val="000000" w:themeColor="text1"/>
          <w:szCs w:val="21"/>
        </w:rPr>
        <w:t>元每人每时计算，不足一小时部分按一小时计算。</w:t>
      </w:r>
    </w:p>
    <w:p>
      <w:pPr>
        <w:spacing w:line="380" w:lineRule="exact"/>
        <w:ind w:firstLine="411" w:firstLineChars="196"/>
        <w:rPr>
          <w:rFonts w:ascii="宋体" w:hAnsi="宋体"/>
          <w:bCs/>
          <w:color w:val="000000" w:themeColor="text1"/>
          <w:szCs w:val="21"/>
        </w:rPr>
      </w:pPr>
      <w:r>
        <w:rPr>
          <w:rFonts w:hint="eastAsia" w:ascii="宋体" w:hAnsi="宋体"/>
          <w:bCs/>
          <w:color w:val="000000" w:themeColor="text1"/>
          <w:szCs w:val="21"/>
        </w:rPr>
        <w:t>2.供方在接到需方要求其赴现场处理质量问题的通知后，若未按约定时间赴现场并处理，供方应赔偿误工场地费</w:t>
      </w:r>
      <w:r>
        <w:rPr>
          <w:rFonts w:ascii="宋体" w:hAnsi="宋体"/>
          <w:bCs/>
          <w:color w:val="000000" w:themeColor="text1"/>
          <w:szCs w:val="21"/>
        </w:rPr>
        <w:t>500</w:t>
      </w:r>
      <w:r>
        <w:rPr>
          <w:rFonts w:hint="eastAsia" w:ascii="宋体" w:hAnsi="宋体"/>
          <w:bCs/>
          <w:color w:val="000000" w:themeColor="text1"/>
          <w:szCs w:val="21"/>
        </w:rPr>
        <w:t>元/每天每车（或底盘、总成）。</w:t>
      </w:r>
    </w:p>
    <w:p>
      <w:pPr>
        <w:spacing w:line="380" w:lineRule="exact"/>
        <w:ind w:firstLine="411" w:firstLineChars="196"/>
        <w:rPr>
          <w:rFonts w:ascii="宋体" w:hAnsi="宋体"/>
          <w:bCs/>
          <w:color w:val="000000" w:themeColor="text1"/>
          <w:szCs w:val="21"/>
        </w:rPr>
      </w:pPr>
      <w:r>
        <w:rPr>
          <w:rFonts w:hint="eastAsia" w:ascii="宋体" w:hAnsi="宋体"/>
          <w:bCs/>
          <w:color w:val="000000" w:themeColor="text1"/>
          <w:szCs w:val="21"/>
        </w:rPr>
        <w:t>3.供方在接到需方通知后未及时处理，装配单位为不影响生产进度，有权代供方进行质量问题的处理，但供方必须承担配件及关联件的损失以及6</w:t>
      </w:r>
      <w:r>
        <w:rPr>
          <w:rFonts w:ascii="宋体" w:hAnsi="宋体"/>
          <w:bCs/>
          <w:color w:val="000000" w:themeColor="text1"/>
          <w:szCs w:val="21"/>
        </w:rPr>
        <w:t>0</w:t>
      </w:r>
      <w:r>
        <w:rPr>
          <w:rFonts w:hint="eastAsia" w:ascii="宋体" w:hAnsi="宋体"/>
          <w:bCs/>
          <w:color w:val="000000" w:themeColor="text1"/>
          <w:szCs w:val="21"/>
        </w:rPr>
        <w:t>元每人每时质量问题处理补偿费。</w:t>
      </w:r>
    </w:p>
    <w:p>
      <w:pPr>
        <w:spacing w:line="380" w:lineRule="exact"/>
        <w:ind w:firstLine="411" w:firstLineChars="196"/>
        <w:jc w:val="left"/>
        <w:rPr>
          <w:rFonts w:ascii="宋体" w:hAnsi="宋体"/>
          <w:color w:val="000000" w:themeColor="text1"/>
          <w:szCs w:val="21"/>
        </w:rPr>
      </w:pPr>
      <w:r>
        <w:rPr>
          <w:rFonts w:hint="eastAsia" w:ascii="宋体" w:hAnsi="宋体"/>
          <w:bCs/>
          <w:color w:val="000000" w:themeColor="text1"/>
          <w:szCs w:val="21"/>
        </w:rPr>
        <w:t>4.对</w:t>
      </w:r>
      <w:r>
        <w:rPr>
          <w:rFonts w:hint="eastAsia" w:ascii="宋体" w:hAnsi="宋体"/>
          <w:color w:val="000000" w:themeColor="text1"/>
          <w:szCs w:val="21"/>
        </w:rPr>
        <w:t xml:space="preserve">确认是供方所供产品的质量问题引起的需方产品在售后“三包”服务期间所产生的质量损失费用和法律责任由供方负责承担。 </w:t>
      </w:r>
    </w:p>
    <w:p>
      <w:pPr>
        <w:pStyle w:val="9"/>
        <w:spacing w:before="0" w:after="0"/>
        <w:ind w:firstLine="422"/>
        <w:jc w:val="left"/>
        <w:rPr>
          <w:color w:val="000000" w:themeColor="text1"/>
          <w:sz w:val="28"/>
          <w:szCs w:val="28"/>
        </w:rPr>
      </w:pPr>
      <w:bookmarkStart w:id="12" w:name="_Toc501107800"/>
      <w:r>
        <w:rPr>
          <w:rFonts w:hint="eastAsia"/>
          <w:color w:val="000000" w:themeColor="text1"/>
          <w:sz w:val="28"/>
          <w:szCs w:val="28"/>
        </w:rPr>
        <w:t>（四）、质量问题未及时整改的处罚</w:t>
      </w:r>
      <w:bookmarkEnd w:id="12"/>
    </w:p>
    <w:p>
      <w:pPr>
        <w:pStyle w:val="21"/>
        <w:spacing w:line="400" w:lineRule="exact"/>
        <w:ind w:firstLine="407" w:firstLineChars="194"/>
        <w:rPr>
          <w:rFonts w:hint="default" w:hAnsi="宋体"/>
          <w:bCs/>
          <w:color w:val="000000" w:themeColor="text1"/>
          <w:szCs w:val="21"/>
        </w:rPr>
      </w:pPr>
      <w:r>
        <w:rPr>
          <w:rFonts w:hAnsi="宋体"/>
          <w:bCs/>
          <w:color w:val="000000" w:themeColor="text1"/>
          <w:kern w:val="2"/>
          <w:szCs w:val="21"/>
        </w:rPr>
        <w:t>1.对</w:t>
      </w:r>
      <w:r>
        <w:rPr>
          <w:rFonts w:hAnsi="宋体"/>
          <w:bCs/>
          <w:color w:val="000000" w:themeColor="text1"/>
          <w:szCs w:val="21"/>
        </w:rPr>
        <w:t>于设计、SQE、工厂检验、工厂物流提出的对供应商的整改要求，双方会议纪要约定的整改要求，接到信息后3个工作日内未回复响应，7个工作日内未回复有效纠正措施计划的，每项次考核违约金</w:t>
      </w:r>
      <w:r>
        <w:rPr>
          <w:rFonts w:hint="default" w:hAnsi="宋体"/>
          <w:bCs/>
          <w:color w:val="000000" w:themeColor="text1"/>
          <w:szCs w:val="21"/>
        </w:rPr>
        <w:t>200</w:t>
      </w:r>
      <w:r>
        <w:rPr>
          <w:rFonts w:hAnsi="宋体"/>
          <w:bCs/>
          <w:color w:val="000000" w:themeColor="text1"/>
          <w:szCs w:val="21"/>
        </w:rPr>
        <w:t>元；</w:t>
      </w:r>
    </w:p>
    <w:p>
      <w:pPr>
        <w:pStyle w:val="21"/>
        <w:spacing w:line="400" w:lineRule="exact"/>
        <w:ind w:firstLine="407" w:firstLineChars="194"/>
        <w:rPr>
          <w:rFonts w:hint="default" w:hAnsi="宋体"/>
          <w:bCs/>
          <w:color w:val="000000" w:themeColor="text1"/>
          <w:szCs w:val="21"/>
        </w:rPr>
      </w:pPr>
      <w:r>
        <w:rPr>
          <w:rFonts w:hAnsi="宋体"/>
          <w:bCs/>
          <w:color w:val="000000" w:themeColor="text1"/>
          <w:kern w:val="2"/>
          <w:szCs w:val="21"/>
        </w:rPr>
        <w:t>2.未</w:t>
      </w:r>
      <w:r>
        <w:rPr>
          <w:rFonts w:hAnsi="宋体"/>
          <w:bCs/>
          <w:color w:val="000000" w:themeColor="text1"/>
          <w:szCs w:val="21"/>
        </w:rPr>
        <w:t>按约定计划时间节点完成整改，且未提前与要求整改人员沟通或未获得延期许可的，每延期一天考核违约金</w:t>
      </w:r>
      <w:r>
        <w:rPr>
          <w:rFonts w:hint="default" w:hAnsi="宋体"/>
          <w:bCs/>
          <w:color w:val="000000" w:themeColor="text1"/>
          <w:szCs w:val="21"/>
        </w:rPr>
        <w:t>200</w:t>
      </w:r>
      <w:r>
        <w:rPr>
          <w:rFonts w:hAnsi="宋体"/>
          <w:bCs/>
          <w:color w:val="000000" w:themeColor="text1"/>
          <w:szCs w:val="21"/>
        </w:rPr>
        <w:t>元，影响整车试制、试产计划的，每延期影响一天考核违约金</w:t>
      </w:r>
      <w:r>
        <w:rPr>
          <w:rFonts w:hint="default" w:hAnsi="宋体"/>
          <w:bCs/>
          <w:color w:val="000000" w:themeColor="text1"/>
          <w:szCs w:val="21"/>
        </w:rPr>
        <w:t>5</w:t>
      </w:r>
      <w:r>
        <w:rPr>
          <w:rFonts w:hAnsi="宋体"/>
          <w:bCs/>
          <w:color w:val="000000" w:themeColor="text1"/>
          <w:szCs w:val="21"/>
        </w:rPr>
        <w:t>000元；</w:t>
      </w:r>
    </w:p>
    <w:p>
      <w:pPr>
        <w:spacing w:line="380" w:lineRule="exact"/>
        <w:ind w:firstLine="411" w:firstLineChars="196"/>
        <w:jc w:val="left"/>
        <w:rPr>
          <w:color w:val="000000" w:themeColor="text1"/>
          <w:szCs w:val="21"/>
        </w:rPr>
      </w:pPr>
      <w:r>
        <w:rPr>
          <w:rFonts w:hint="eastAsia" w:ascii="宋体" w:hAnsi="宋体"/>
          <w:bCs/>
          <w:color w:val="000000" w:themeColor="text1"/>
          <w:szCs w:val="21"/>
        </w:rPr>
        <w:t>3.协议所涉及的供方责任仅限于供方，供方不得以任何借口提出并涉及第三方，不论该产品是否由供方自</w:t>
      </w:r>
      <w:r>
        <w:rPr>
          <w:rFonts w:hint="eastAsia" w:ascii="宋体" w:hAnsi="宋体"/>
          <w:color w:val="000000" w:themeColor="text1"/>
          <w:szCs w:val="21"/>
        </w:rPr>
        <w:t>制或购买。</w:t>
      </w:r>
      <w:r>
        <w:rPr>
          <w:color w:val="000000" w:themeColor="text1"/>
          <w:szCs w:val="21"/>
        </w:rPr>
        <w:br w:type="page"/>
      </w:r>
    </w:p>
    <w:p>
      <w:pPr>
        <w:pStyle w:val="2"/>
        <w:spacing w:before="0" w:beforeAutospacing="0" w:after="0" w:afterAutospacing="0"/>
        <w:rPr>
          <w:color w:val="000000" w:themeColor="text1"/>
          <w:sz w:val="28"/>
          <w:szCs w:val="28"/>
        </w:rPr>
      </w:pPr>
      <w:bookmarkStart w:id="13" w:name="_Toc501107801"/>
      <w:r>
        <w:rPr>
          <w:rFonts w:hint="eastAsia"/>
          <w:color w:val="000000" w:themeColor="text1"/>
          <w:sz w:val="28"/>
          <w:szCs w:val="28"/>
        </w:rPr>
        <w:t>附件2.2、供货检验基准书</w:t>
      </w:r>
      <w:bookmarkEnd w:id="13"/>
    </w:p>
    <w:p>
      <w:pPr>
        <w:ind w:firstLine="420"/>
        <w:rPr>
          <w:color w:val="000000" w:themeColor="text1"/>
        </w:rPr>
      </w:pPr>
      <w:r>
        <w:rPr>
          <w:rFonts w:hint="eastAsia"/>
          <w:color w:val="000000" w:themeColor="text1"/>
        </w:rPr>
        <w:t>检验基准书参照如下模板自行绘制，与本协议同时生效。内容包括检验项目、规格、检测方法、抽样频度及对应泡泡图，格式可做适当调整。</w:t>
      </w:r>
    </w:p>
    <w:p>
      <w:pPr>
        <w:ind w:firstLine="480"/>
        <w:rPr>
          <w:color w:val="000000" w:themeColor="text1"/>
        </w:rPr>
      </w:pPr>
      <w:r>
        <w:rPr>
          <w:color w:val="000000" w:themeColor="text1"/>
          <w:lang w:bidi="ar-SA"/>
        </w:rPr>
        <w:drawing>
          <wp:inline distT="0" distB="0" distL="0" distR="0">
            <wp:extent cx="5600700" cy="73056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4" cstate="print"/>
                    <a:stretch>
                      <a:fillRect/>
                    </a:stretch>
                  </pic:blipFill>
                  <pic:spPr>
                    <a:xfrm>
                      <a:off x="0" y="0"/>
                      <a:ext cx="5600700" cy="7305675"/>
                    </a:xfrm>
                    <a:prstGeom prst="rect">
                      <a:avLst/>
                    </a:prstGeom>
                  </pic:spPr>
                </pic:pic>
              </a:graphicData>
            </a:graphic>
          </wp:inline>
        </w:drawing>
      </w:r>
      <w:r>
        <w:rPr>
          <w:color w:val="000000" w:themeColor="text1"/>
        </w:rPr>
        <w:br w:type="page"/>
      </w:r>
    </w:p>
    <w:p>
      <w:pPr>
        <w:pStyle w:val="2"/>
        <w:spacing w:before="0" w:beforeAutospacing="0" w:after="0" w:afterAutospacing="0"/>
        <w:rPr>
          <w:color w:val="000000" w:themeColor="text1"/>
          <w:sz w:val="28"/>
          <w:szCs w:val="28"/>
        </w:rPr>
      </w:pPr>
      <w:bookmarkStart w:id="14" w:name="_Toc501107802"/>
      <w:r>
        <w:rPr>
          <w:rFonts w:hint="eastAsia"/>
          <w:color w:val="000000" w:themeColor="text1"/>
          <w:sz w:val="28"/>
          <w:szCs w:val="28"/>
        </w:rPr>
        <w:t>附件2.3：产品引用标准目录</w:t>
      </w:r>
      <w:bookmarkEnd w:id="14"/>
    </w:p>
    <w:p>
      <w:pPr>
        <w:ind w:firstLine="420"/>
        <w:rPr>
          <w:rStyle w:val="22"/>
          <w:color w:val="000000" w:themeColor="text1"/>
        </w:rPr>
      </w:pPr>
      <w:r>
        <w:rPr>
          <w:rStyle w:val="22"/>
          <w:rFonts w:hint="eastAsia"/>
          <w:color w:val="000000" w:themeColor="text1"/>
        </w:rPr>
        <w:t>（若有）（国标、行业标准等，企业标准请同时提供电子版）</w:t>
      </w:r>
    </w:p>
    <w:p>
      <w:pPr>
        <w:ind w:firstLine="420"/>
        <w:rPr>
          <w:rStyle w:val="22"/>
          <w:color w:val="000000" w:themeColor="text1"/>
        </w:rPr>
      </w:pPr>
    </w:p>
    <w:tbl>
      <w:tblPr>
        <w:tblStyle w:val="11"/>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126"/>
        <w:gridCol w:w="2127"/>
        <w:gridCol w:w="4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704" w:type="dxa"/>
            <w:vAlign w:val="center"/>
          </w:tcPr>
          <w:p>
            <w:pPr>
              <w:jc w:val="center"/>
              <w:rPr>
                <w:rFonts w:asciiTheme="minorEastAsia" w:hAnsiTheme="minorEastAsia" w:eastAsiaTheme="minorEastAsia"/>
                <w:color w:val="000000" w:themeColor="text1"/>
                <w:kern w:val="0"/>
                <w:sz w:val="20"/>
                <w:szCs w:val="21"/>
              </w:rPr>
            </w:pPr>
            <w:r>
              <w:rPr>
                <w:rFonts w:hint="eastAsia" w:asciiTheme="minorEastAsia" w:hAnsiTheme="minorEastAsia" w:eastAsiaTheme="minorEastAsia"/>
                <w:color w:val="000000" w:themeColor="text1"/>
                <w:kern w:val="0"/>
                <w:sz w:val="20"/>
                <w:szCs w:val="21"/>
              </w:rPr>
              <w:t>序号</w:t>
            </w:r>
          </w:p>
        </w:tc>
        <w:tc>
          <w:tcPr>
            <w:tcW w:w="2126" w:type="dxa"/>
            <w:vAlign w:val="center"/>
          </w:tcPr>
          <w:p>
            <w:pPr>
              <w:jc w:val="center"/>
              <w:rPr>
                <w:rFonts w:asciiTheme="minorEastAsia" w:hAnsiTheme="minorEastAsia" w:eastAsiaTheme="minorEastAsia"/>
                <w:color w:val="000000" w:themeColor="text1"/>
                <w:kern w:val="0"/>
                <w:sz w:val="20"/>
                <w:szCs w:val="21"/>
              </w:rPr>
            </w:pPr>
            <w:r>
              <w:rPr>
                <w:rFonts w:hint="eastAsia" w:asciiTheme="minorEastAsia" w:hAnsiTheme="minorEastAsia" w:eastAsiaTheme="minorEastAsia"/>
                <w:color w:val="000000" w:themeColor="text1"/>
                <w:kern w:val="0"/>
                <w:sz w:val="20"/>
                <w:szCs w:val="21"/>
              </w:rPr>
              <w:t>功能/</w:t>
            </w:r>
            <w:r>
              <w:rPr>
                <w:rFonts w:asciiTheme="minorEastAsia" w:hAnsiTheme="minorEastAsia" w:eastAsiaTheme="minorEastAsia"/>
                <w:color w:val="000000" w:themeColor="text1"/>
                <w:kern w:val="0"/>
                <w:sz w:val="20"/>
                <w:szCs w:val="21"/>
              </w:rPr>
              <w:t>特性</w:t>
            </w:r>
          </w:p>
        </w:tc>
        <w:tc>
          <w:tcPr>
            <w:tcW w:w="2127" w:type="dxa"/>
            <w:vAlign w:val="center"/>
          </w:tcPr>
          <w:p>
            <w:pPr>
              <w:jc w:val="center"/>
              <w:rPr>
                <w:rFonts w:asciiTheme="minorEastAsia" w:hAnsiTheme="minorEastAsia" w:eastAsiaTheme="minorEastAsia"/>
                <w:color w:val="000000" w:themeColor="text1"/>
                <w:kern w:val="0"/>
                <w:sz w:val="20"/>
                <w:szCs w:val="21"/>
              </w:rPr>
            </w:pPr>
            <w:r>
              <w:rPr>
                <w:rFonts w:asciiTheme="minorEastAsia" w:hAnsiTheme="minorEastAsia" w:eastAsiaTheme="minorEastAsia"/>
                <w:color w:val="000000" w:themeColor="text1"/>
                <w:kern w:val="0"/>
                <w:sz w:val="20"/>
                <w:szCs w:val="21"/>
              </w:rPr>
              <w:t>引用的标准</w:t>
            </w:r>
          </w:p>
        </w:tc>
        <w:tc>
          <w:tcPr>
            <w:tcW w:w="4262" w:type="dxa"/>
            <w:vAlign w:val="center"/>
          </w:tcPr>
          <w:p>
            <w:pPr>
              <w:ind w:firstLine="166" w:firstLineChars="83"/>
              <w:jc w:val="center"/>
              <w:rPr>
                <w:rFonts w:asciiTheme="minorEastAsia" w:hAnsiTheme="minorEastAsia" w:eastAsiaTheme="minorEastAsia"/>
                <w:color w:val="000000" w:themeColor="text1"/>
                <w:kern w:val="0"/>
                <w:sz w:val="20"/>
                <w:szCs w:val="21"/>
              </w:rPr>
            </w:pPr>
            <w:r>
              <w:rPr>
                <w:rFonts w:asciiTheme="minorEastAsia" w:hAnsiTheme="minorEastAsia" w:eastAsiaTheme="minorEastAsia"/>
                <w:color w:val="000000" w:themeColor="text1"/>
                <w:kern w:val="0"/>
                <w:sz w:val="20"/>
                <w:szCs w:val="21"/>
              </w:rPr>
              <w:t>备注</w:t>
            </w:r>
          </w:p>
          <w:p>
            <w:pPr>
              <w:ind w:firstLine="166" w:firstLineChars="83"/>
              <w:jc w:val="center"/>
              <w:rPr>
                <w:rFonts w:asciiTheme="minorEastAsia" w:hAnsiTheme="minorEastAsia" w:eastAsiaTheme="minorEastAsia"/>
                <w:color w:val="000000" w:themeColor="text1"/>
                <w:kern w:val="0"/>
                <w:sz w:val="20"/>
                <w:szCs w:val="21"/>
              </w:rPr>
            </w:pPr>
            <w:r>
              <w:rPr>
                <w:rFonts w:hint="eastAsia" w:asciiTheme="minorEastAsia" w:hAnsiTheme="minorEastAsia" w:eastAsiaTheme="minorEastAsia"/>
                <w:color w:val="000000" w:themeColor="text1"/>
                <w:kern w:val="0"/>
                <w:sz w:val="20"/>
                <w:szCs w:val="21"/>
              </w:rPr>
              <w:t>（</w:t>
            </w:r>
            <w:r>
              <w:rPr>
                <w:rFonts w:hint="eastAsia" w:asciiTheme="minorEastAsia" w:hAnsiTheme="minorEastAsia" w:eastAsiaTheme="minorEastAsia"/>
                <w:color w:val="000000" w:themeColor="text1"/>
                <w:kern w:val="0"/>
                <w:sz w:val="18"/>
                <w:szCs w:val="21"/>
              </w:rPr>
              <w:t>若该标准中多个等级，注明采用等级</w:t>
            </w:r>
            <w:r>
              <w:rPr>
                <w:rFonts w:hint="eastAsia" w:asciiTheme="minorEastAsia" w:hAnsiTheme="minorEastAsia" w:eastAsiaTheme="minorEastAsia"/>
                <w:color w:val="000000" w:themeColor="text1"/>
                <w:kern w:val="0"/>
                <w:sz w:val="2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704" w:type="dxa"/>
            <w:vAlign w:val="center"/>
          </w:tcPr>
          <w:p>
            <w:pPr>
              <w:ind w:firstLine="166" w:firstLineChars="83"/>
              <w:rPr>
                <w:color w:val="000000" w:themeColor="text1"/>
                <w:kern w:val="0"/>
                <w:sz w:val="20"/>
              </w:rPr>
            </w:pPr>
            <w:r>
              <w:rPr>
                <w:rFonts w:hint="eastAsia"/>
                <w:color w:val="000000" w:themeColor="text1"/>
                <w:kern w:val="0"/>
                <w:sz w:val="20"/>
              </w:rPr>
              <w:t>1</w:t>
            </w:r>
          </w:p>
        </w:tc>
        <w:tc>
          <w:tcPr>
            <w:tcW w:w="2126" w:type="dxa"/>
            <w:vAlign w:val="center"/>
          </w:tcPr>
          <w:p>
            <w:pPr>
              <w:ind w:firstLine="480"/>
              <w:jc w:val="center"/>
              <w:rPr>
                <w:color w:val="000000" w:themeColor="text1"/>
                <w:kern w:val="0"/>
                <w:sz w:val="20"/>
              </w:rPr>
            </w:pPr>
          </w:p>
        </w:tc>
        <w:tc>
          <w:tcPr>
            <w:tcW w:w="2127" w:type="dxa"/>
            <w:vAlign w:val="center"/>
          </w:tcPr>
          <w:p>
            <w:pPr>
              <w:ind w:firstLine="480"/>
              <w:jc w:val="center"/>
              <w:rPr>
                <w:color w:val="000000" w:themeColor="text1"/>
                <w:kern w:val="0"/>
                <w:sz w:val="20"/>
              </w:rPr>
            </w:pPr>
          </w:p>
        </w:tc>
        <w:tc>
          <w:tcPr>
            <w:tcW w:w="4262" w:type="dxa"/>
            <w:vAlign w:val="center"/>
          </w:tcPr>
          <w:p>
            <w:pPr>
              <w:ind w:firstLine="480"/>
              <w:jc w:val="center"/>
              <w:rPr>
                <w:color w:val="000000" w:themeColor="text1"/>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704" w:type="dxa"/>
            <w:vAlign w:val="center"/>
          </w:tcPr>
          <w:p>
            <w:pPr>
              <w:ind w:firstLine="166" w:firstLineChars="83"/>
              <w:rPr>
                <w:color w:val="000000" w:themeColor="text1"/>
                <w:kern w:val="0"/>
                <w:sz w:val="20"/>
              </w:rPr>
            </w:pPr>
            <w:r>
              <w:rPr>
                <w:rFonts w:hint="eastAsia"/>
                <w:color w:val="000000" w:themeColor="text1"/>
                <w:kern w:val="0"/>
                <w:sz w:val="20"/>
              </w:rPr>
              <w:t>2</w:t>
            </w:r>
          </w:p>
        </w:tc>
        <w:tc>
          <w:tcPr>
            <w:tcW w:w="2126" w:type="dxa"/>
            <w:vAlign w:val="center"/>
          </w:tcPr>
          <w:p>
            <w:pPr>
              <w:ind w:firstLine="480"/>
              <w:jc w:val="center"/>
              <w:rPr>
                <w:color w:val="000000" w:themeColor="text1"/>
                <w:kern w:val="0"/>
                <w:sz w:val="20"/>
              </w:rPr>
            </w:pPr>
          </w:p>
        </w:tc>
        <w:tc>
          <w:tcPr>
            <w:tcW w:w="2127" w:type="dxa"/>
            <w:vAlign w:val="center"/>
          </w:tcPr>
          <w:p>
            <w:pPr>
              <w:ind w:firstLine="480"/>
              <w:jc w:val="center"/>
              <w:rPr>
                <w:color w:val="000000" w:themeColor="text1"/>
                <w:kern w:val="0"/>
                <w:sz w:val="20"/>
              </w:rPr>
            </w:pPr>
          </w:p>
        </w:tc>
        <w:tc>
          <w:tcPr>
            <w:tcW w:w="4262" w:type="dxa"/>
            <w:vAlign w:val="center"/>
          </w:tcPr>
          <w:p>
            <w:pPr>
              <w:ind w:firstLine="480"/>
              <w:jc w:val="center"/>
              <w:rPr>
                <w:color w:val="000000" w:themeColor="text1"/>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704" w:type="dxa"/>
            <w:vAlign w:val="center"/>
          </w:tcPr>
          <w:p>
            <w:pPr>
              <w:ind w:firstLine="166" w:firstLineChars="83"/>
              <w:rPr>
                <w:color w:val="000000" w:themeColor="text1"/>
                <w:kern w:val="0"/>
                <w:sz w:val="20"/>
              </w:rPr>
            </w:pPr>
            <w:r>
              <w:rPr>
                <w:rFonts w:hint="eastAsia"/>
                <w:color w:val="000000" w:themeColor="text1"/>
                <w:kern w:val="0"/>
                <w:sz w:val="20"/>
              </w:rPr>
              <w:t>3</w:t>
            </w:r>
          </w:p>
        </w:tc>
        <w:tc>
          <w:tcPr>
            <w:tcW w:w="2126" w:type="dxa"/>
            <w:vAlign w:val="center"/>
          </w:tcPr>
          <w:p>
            <w:pPr>
              <w:ind w:firstLine="480"/>
              <w:jc w:val="center"/>
              <w:rPr>
                <w:color w:val="000000" w:themeColor="text1"/>
                <w:kern w:val="0"/>
                <w:sz w:val="20"/>
              </w:rPr>
            </w:pPr>
          </w:p>
        </w:tc>
        <w:tc>
          <w:tcPr>
            <w:tcW w:w="2127" w:type="dxa"/>
            <w:vAlign w:val="center"/>
          </w:tcPr>
          <w:p>
            <w:pPr>
              <w:ind w:firstLine="480"/>
              <w:jc w:val="center"/>
              <w:rPr>
                <w:color w:val="000000" w:themeColor="text1"/>
                <w:kern w:val="0"/>
                <w:sz w:val="20"/>
              </w:rPr>
            </w:pPr>
          </w:p>
        </w:tc>
        <w:tc>
          <w:tcPr>
            <w:tcW w:w="4262" w:type="dxa"/>
            <w:vAlign w:val="center"/>
          </w:tcPr>
          <w:p>
            <w:pPr>
              <w:ind w:firstLine="480"/>
              <w:jc w:val="center"/>
              <w:rPr>
                <w:color w:val="000000" w:themeColor="text1"/>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704" w:type="dxa"/>
            <w:vAlign w:val="center"/>
          </w:tcPr>
          <w:p>
            <w:pPr>
              <w:ind w:firstLine="166" w:firstLineChars="83"/>
              <w:rPr>
                <w:color w:val="000000" w:themeColor="text1"/>
                <w:kern w:val="0"/>
                <w:sz w:val="20"/>
              </w:rPr>
            </w:pPr>
            <w:r>
              <w:rPr>
                <w:rFonts w:hint="eastAsia"/>
                <w:color w:val="000000" w:themeColor="text1"/>
                <w:kern w:val="0"/>
                <w:sz w:val="20"/>
              </w:rPr>
              <w:t>4</w:t>
            </w:r>
          </w:p>
        </w:tc>
        <w:tc>
          <w:tcPr>
            <w:tcW w:w="2126" w:type="dxa"/>
            <w:vAlign w:val="center"/>
          </w:tcPr>
          <w:p>
            <w:pPr>
              <w:ind w:firstLine="480"/>
              <w:jc w:val="center"/>
              <w:rPr>
                <w:color w:val="000000" w:themeColor="text1"/>
                <w:kern w:val="0"/>
                <w:sz w:val="20"/>
              </w:rPr>
            </w:pPr>
          </w:p>
        </w:tc>
        <w:tc>
          <w:tcPr>
            <w:tcW w:w="2127" w:type="dxa"/>
            <w:vAlign w:val="center"/>
          </w:tcPr>
          <w:p>
            <w:pPr>
              <w:ind w:firstLine="480"/>
              <w:jc w:val="center"/>
              <w:rPr>
                <w:color w:val="000000" w:themeColor="text1"/>
                <w:kern w:val="0"/>
                <w:sz w:val="20"/>
              </w:rPr>
            </w:pPr>
          </w:p>
        </w:tc>
        <w:tc>
          <w:tcPr>
            <w:tcW w:w="4262" w:type="dxa"/>
            <w:vAlign w:val="center"/>
          </w:tcPr>
          <w:p>
            <w:pPr>
              <w:ind w:firstLine="480"/>
              <w:jc w:val="center"/>
              <w:rPr>
                <w:color w:val="000000" w:themeColor="text1"/>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704" w:type="dxa"/>
            <w:vAlign w:val="center"/>
          </w:tcPr>
          <w:p>
            <w:pPr>
              <w:ind w:firstLine="166" w:firstLineChars="83"/>
              <w:rPr>
                <w:color w:val="000000" w:themeColor="text1"/>
                <w:kern w:val="0"/>
                <w:sz w:val="20"/>
              </w:rPr>
            </w:pPr>
            <w:r>
              <w:rPr>
                <w:rFonts w:hint="eastAsia"/>
                <w:color w:val="000000" w:themeColor="text1"/>
                <w:kern w:val="0"/>
                <w:sz w:val="20"/>
              </w:rPr>
              <w:t>5</w:t>
            </w:r>
          </w:p>
        </w:tc>
        <w:tc>
          <w:tcPr>
            <w:tcW w:w="2126" w:type="dxa"/>
            <w:vAlign w:val="center"/>
          </w:tcPr>
          <w:p>
            <w:pPr>
              <w:ind w:firstLine="480"/>
              <w:jc w:val="center"/>
              <w:rPr>
                <w:color w:val="000000" w:themeColor="text1"/>
                <w:kern w:val="0"/>
                <w:sz w:val="20"/>
              </w:rPr>
            </w:pPr>
          </w:p>
        </w:tc>
        <w:tc>
          <w:tcPr>
            <w:tcW w:w="2127" w:type="dxa"/>
            <w:vAlign w:val="center"/>
          </w:tcPr>
          <w:p>
            <w:pPr>
              <w:ind w:firstLine="480"/>
              <w:jc w:val="center"/>
              <w:rPr>
                <w:color w:val="000000" w:themeColor="text1"/>
                <w:kern w:val="0"/>
                <w:sz w:val="20"/>
              </w:rPr>
            </w:pPr>
          </w:p>
        </w:tc>
        <w:tc>
          <w:tcPr>
            <w:tcW w:w="4262" w:type="dxa"/>
            <w:vAlign w:val="center"/>
          </w:tcPr>
          <w:p>
            <w:pPr>
              <w:ind w:firstLine="480"/>
              <w:jc w:val="center"/>
              <w:rPr>
                <w:color w:val="000000" w:themeColor="text1"/>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704" w:type="dxa"/>
            <w:vAlign w:val="center"/>
          </w:tcPr>
          <w:p>
            <w:pPr>
              <w:ind w:firstLine="166" w:firstLineChars="83"/>
              <w:rPr>
                <w:color w:val="000000" w:themeColor="text1"/>
                <w:kern w:val="0"/>
                <w:sz w:val="20"/>
              </w:rPr>
            </w:pPr>
            <w:r>
              <w:rPr>
                <w:rFonts w:hint="eastAsia"/>
                <w:color w:val="000000" w:themeColor="text1"/>
                <w:kern w:val="0"/>
                <w:sz w:val="20"/>
              </w:rPr>
              <w:t>6</w:t>
            </w:r>
          </w:p>
        </w:tc>
        <w:tc>
          <w:tcPr>
            <w:tcW w:w="2126" w:type="dxa"/>
            <w:vAlign w:val="center"/>
          </w:tcPr>
          <w:p>
            <w:pPr>
              <w:ind w:firstLine="480"/>
              <w:jc w:val="center"/>
              <w:rPr>
                <w:color w:val="000000" w:themeColor="text1"/>
                <w:kern w:val="0"/>
                <w:sz w:val="20"/>
              </w:rPr>
            </w:pPr>
          </w:p>
        </w:tc>
        <w:tc>
          <w:tcPr>
            <w:tcW w:w="2127" w:type="dxa"/>
            <w:vAlign w:val="center"/>
          </w:tcPr>
          <w:p>
            <w:pPr>
              <w:ind w:firstLine="480"/>
              <w:jc w:val="center"/>
              <w:rPr>
                <w:color w:val="000000" w:themeColor="text1"/>
                <w:kern w:val="0"/>
                <w:sz w:val="20"/>
              </w:rPr>
            </w:pPr>
          </w:p>
        </w:tc>
        <w:tc>
          <w:tcPr>
            <w:tcW w:w="4262" w:type="dxa"/>
            <w:vAlign w:val="center"/>
          </w:tcPr>
          <w:p>
            <w:pPr>
              <w:ind w:firstLine="480"/>
              <w:jc w:val="center"/>
              <w:rPr>
                <w:color w:val="000000" w:themeColor="text1"/>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704" w:type="dxa"/>
            <w:vAlign w:val="center"/>
          </w:tcPr>
          <w:p>
            <w:pPr>
              <w:ind w:firstLine="166" w:firstLineChars="83"/>
              <w:rPr>
                <w:color w:val="000000" w:themeColor="text1"/>
                <w:kern w:val="0"/>
                <w:sz w:val="20"/>
              </w:rPr>
            </w:pPr>
            <w:r>
              <w:rPr>
                <w:rFonts w:hint="eastAsia"/>
                <w:color w:val="000000" w:themeColor="text1"/>
                <w:kern w:val="0"/>
                <w:sz w:val="20"/>
              </w:rPr>
              <w:t>7</w:t>
            </w:r>
          </w:p>
        </w:tc>
        <w:tc>
          <w:tcPr>
            <w:tcW w:w="2126" w:type="dxa"/>
            <w:vAlign w:val="center"/>
          </w:tcPr>
          <w:p>
            <w:pPr>
              <w:ind w:firstLine="480"/>
              <w:jc w:val="center"/>
              <w:rPr>
                <w:color w:val="000000" w:themeColor="text1"/>
                <w:kern w:val="0"/>
                <w:sz w:val="20"/>
              </w:rPr>
            </w:pPr>
          </w:p>
        </w:tc>
        <w:tc>
          <w:tcPr>
            <w:tcW w:w="2127" w:type="dxa"/>
            <w:vAlign w:val="center"/>
          </w:tcPr>
          <w:p>
            <w:pPr>
              <w:ind w:firstLine="480"/>
              <w:jc w:val="center"/>
              <w:rPr>
                <w:color w:val="000000" w:themeColor="text1"/>
                <w:kern w:val="0"/>
                <w:sz w:val="20"/>
              </w:rPr>
            </w:pPr>
          </w:p>
        </w:tc>
        <w:tc>
          <w:tcPr>
            <w:tcW w:w="4262" w:type="dxa"/>
            <w:vAlign w:val="center"/>
          </w:tcPr>
          <w:p>
            <w:pPr>
              <w:ind w:firstLine="480"/>
              <w:jc w:val="center"/>
              <w:rPr>
                <w:color w:val="000000" w:themeColor="text1"/>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704" w:type="dxa"/>
            <w:vAlign w:val="center"/>
          </w:tcPr>
          <w:p>
            <w:pPr>
              <w:jc w:val="center"/>
              <w:rPr>
                <w:color w:val="000000" w:themeColor="text1"/>
                <w:kern w:val="0"/>
                <w:sz w:val="20"/>
              </w:rPr>
            </w:pPr>
            <w:r>
              <w:rPr>
                <w:rFonts w:hint="eastAsia"/>
                <w:color w:val="000000" w:themeColor="text1"/>
                <w:kern w:val="0"/>
                <w:sz w:val="20"/>
              </w:rPr>
              <w:t>8</w:t>
            </w:r>
          </w:p>
        </w:tc>
        <w:tc>
          <w:tcPr>
            <w:tcW w:w="2126" w:type="dxa"/>
            <w:vAlign w:val="center"/>
          </w:tcPr>
          <w:p>
            <w:pPr>
              <w:ind w:firstLine="480"/>
              <w:jc w:val="center"/>
              <w:rPr>
                <w:color w:val="000000" w:themeColor="text1"/>
                <w:kern w:val="0"/>
                <w:sz w:val="20"/>
              </w:rPr>
            </w:pPr>
          </w:p>
        </w:tc>
        <w:tc>
          <w:tcPr>
            <w:tcW w:w="2127" w:type="dxa"/>
            <w:vAlign w:val="center"/>
          </w:tcPr>
          <w:p>
            <w:pPr>
              <w:ind w:firstLine="480"/>
              <w:jc w:val="center"/>
              <w:rPr>
                <w:color w:val="000000" w:themeColor="text1"/>
                <w:kern w:val="0"/>
                <w:sz w:val="20"/>
              </w:rPr>
            </w:pPr>
          </w:p>
        </w:tc>
        <w:tc>
          <w:tcPr>
            <w:tcW w:w="4262" w:type="dxa"/>
            <w:vAlign w:val="center"/>
          </w:tcPr>
          <w:p>
            <w:pPr>
              <w:ind w:firstLine="480"/>
              <w:jc w:val="center"/>
              <w:rPr>
                <w:color w:val="000000" w:themeColor="text1"/>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704" w:type="dxa"/>
            <w:vAlign w:val="center"/>
          </w:tcPr>
          <w:p>
            <w:pPr>
              <w:jc w:val="center"/>
              <w:rPr>
                <w:color w:val="000000" w:themeColor="text1"/>
                <w:kern w:val="0"/>
                <w:sz w:val="20"/>
              </w:rPr>
            </w:pPr>
            <w:r>
              <w:rPr>
                <w:rFonts w:hint="eastAsia"/>
                <w:color w:val="000000" w:themeColor="text1"/>
                <w:kern w:val="0"/>
                <w:sz w:val="20"/>
              </w:rPr>
              <w:t>9</w:t>
            </w:r>
          </w:p>
        </w:tc>
        <w:tc>
          <w:tcPr>
            <w:tcW w:w="2126" w:type="dxa"/>
            <w:vAlign w:val="center"/>
          </w:tcPr>
          <w:p>
            <w:pPr>
              <w:ind w:firstLine="480"/>
              <w:jc w:val="center"/>
              <w:rPr>
                <w:color w:val="000000" w:themeColor="text1"/>
                <w:kern w:val="0"/>
                <w:sz w:val="20"/>
              </w:rPr>
            </w:pPr>
          </w:p>
        </w:tc>
        <w:tc>
          <w:tcPr>
            <w:tcW w:w="2127" w:type="dxa"/>
            <w:vAlign w:val="center"/>
          </w:tcPr>
          <w:p>
            <w:pPr>
              <w:ind w:firstLine="480"/>
              <w:jc w:val="center"/>
              <w:rPr>
                <w:color w:val="000000" w:themeColor="text1"/>
                <w:kern w:val="0"/>
                <w:sz w:val="20"/>
              </w:rPr>
            </w:pPr>
          </w:p>
        </w:tc>
        <w:tc>
          <w:tcPr>
            <w:tcW w:w="4262" w:type="dxa"/>
            <w:vAlign w:val="center"/>
          </w:tcPr>
          <w:p>
            <w:pPr>
              <w:ind w:firstLine="480"/>
              <w:jc w:val="center"/>
              <w:rPr>
                <w:color w:val="000000" w:themeColor="text1"/>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704" w:type="dxa"/>
            <w:vAlign w:val="center"/>
          </w:tcPr>
          <w:p>
            <w:pPr>
              <w:jc w:val="center"/>
              <w:rPr>
                <w:color w:val="000000" w:themeColor="text1"/>
                <w:kern w:val="0"/>
                <w:sz w:val="20"/>
              </w:rPr>
            </w:pPr>
            <w:r>
              <w:rPr>
                <w:rFonts w:hint="eastAsia"/>
                <w:color w:val="000000" w:themeColor="text1"/>
                <w:kern w:val="0"/>
                <w:sz w:val="20"/>
              </w:rPr>
              <w:t>1</w:t>
            </w:r>
            <w:r>
              <w:rPr>
                <w:color w:val="000000" w:themeColor="text1"/>
                <w:kern w:val="0"/>
                <w:sz w:val="20"/>
              </w:rPr>
              <w:t>0</w:t>
            </w:r>
          </w:p>
        </w:tc>
        <w:tc>
          <w:tcPr>
            <w:tcW w:w="2126" w:type="dxa"/>
            <w:vAlign w:val="center"/>
          </w:tcPr>
          <w:p>
            <w:pPr>
              <w:ind w:firstLine="480"/>
              <w:jc w:val="center"/>
              <w:rPr>
                <w:color w:val="000000" w:themeColor="text1"/>
                <w:kern w:val="0"/>
                <w:sz w:val="20"/>
              </w:rPr>
            </w:pPr>
          </w:p>
        </w:tc>
        <w:tc>
          <w:tcPr>
            <w:tcW w:w="2127" w:type="dxa"/>
            <w:vAlign w:val="center"/>
          </w:tcPr>
          <w:p>
            <w:pPr>
              <w:ind w:firstLine="480"/>
              <w:jc w:val="center"/>
              <w:rPr>
                <w:color w:val="000000" w:themeColor="text1"/>
                <w:kern w:val="0"/>
                <w:sz w:val="20"/>
              </w:rPr>
            </w:pPr>
          </w:p>
        </w:tc>
        <w:tc>
          <w:tcPr>
            <w:tcW w:w="4262" w:type="dxa"/>
            <w:vAlign w:val="center"/>
          </w:tcPr>
          <w:p>
            <w:pPr>
              <w:ind w:firstLine="480"/>
              <w:jc w:val="center"/>
              <w:rPr>
                <w:color w:val="000000" w:themeColor="text1"/>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704" w:type="dxa"/>
            <w:vAlign w:val="center"/>
          </w:tcPr>
          <w:p>
            <w:pPr>
              <w:jc w:val="center"/>
              <w:rPr>
                <w:color w:val="000000" w:themeColor="text1"/>
                <w:kern w:val="0"/>
                <w:sz w:val="20"/>
              </w:rPr>
            </w:pPr>
            <w:r>
              <w:rPr>
                <w:rFonts w:hint="eastAsia"/>
                <w:color w:val="000000" w:themeColor="text1"/>
                <w:kern w:val="0"/>
                <w:sz w:val="20"/>
              </w:rPr>
              <w:t>1</w:t>
            </w:r>
            <w:r>
              <w:rPr>
                <w:color w:val="000000" w:themeColor="text1"/>
                <w:kern w:val="0"/>
                <w:sz w:val="20"/>
              </w:rPr>
              <w:t>1</w:t>
            </w:r>
          </w:p>
        </w:tc>
        <w:tc>
          <w:tcPr>
            <w:tcW w:w="2126" w:type="dxa"/>
            <w:vAlign w:val="center"/>
          </w:tcPr>
          <w:p>
            <w:pPr>
              <w:ind w:firstLine="480"/>
              <w:jc w:val="center"/>
              <w:rPr>
                <w:color w:val="000000" w:themeColor="text1"/>
                <w:kern w:val="0"/>
                <w:sz w:val="20"/>
              </w:rPr>
            </w:pPr>
          </w:p>
        </w:tc>
        <w:tc>
          <w:tcPr>
            <w:tcW w:w="2127" w:type="dxa"/>
            <w:vAlign w:val="center"/>
          </w:tcPr>
          <w:p>
            <w:pPr>
              <w:ind w:firstLine="480"/>
              <w:jc w:val="center"/>
              <w:rPr>
                <w:color w:val="000000" w:themeColor="text1"/>
                <w:kern w:val="0"/>
                <w:sz w:val="20"/>
              </w:rPr>
            </w:pPr>
          </w:p>
        </w:tc>
        <w:tc>
          <w:tcPr>
            <w:tcW w:w="4262" w:type="dxa"/>
            <w:vAlign w:val="center"/>
          </w:tcPr>
          <w:p>
            <w:pPr>
              <w:ind w:firstLine="480"/>
              <w:jc w:val="center"/>
              <w:rPr>
                <w:color w:val="000000" w:themeColor="text1"/>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704" w:type="dxa"/>
            <w:vAlign w:val="center"/>
          </w:tcPr>
          <w:p>
            <w:pPr>
              <w:jc w:val="center"/>
              <w:rPr>
                <w:color w:val="000000" w:themeColor="text1"/>
                <w:kern w:val="0"/>
                <w:sz w:val="20"/>
              </w:rPr>
            </w:pPr>
            <w:r>
              <w:rPr>
                <w:rFonts w:hint="eastAsia"/>
                <w:color w:val="000000" w:themeColor="text1"/>
                <w:kern w:val="0"/>
                <w:sz w:val="20"/>
              </w:rPr>
              <w:t>1</w:t>
            </w:r>
            <w:r>
              <w:rPr>
                <w:color w:val="000000" w:themeColor="text1"/>
                <w:kern w:val="0"/>
                <w:sz w:val="20"/>
              </w:rPr>
              <w:t>2</w:t>
            </w:r>
          </w:p>
        </w:tc>
        <w:tc>
          <w:tcPr>
            <w:tcW w:w="2126" w:type="dxa"/>
            <w:vAlign w:val="center"/>
          </w:tcPr>
          <w:p>
            <w:pPr>
              <w:ind w:firstLine="480"/>
              <w:jc w:val="center"/>
              <w:rPr>
                <w:color w:val="000000" w:themeColor="text1"/>
                <w:kern w:val="0"/>
                <w:sz w:val="20"/>
              </w:rPr>
            </w:pPr>
          </w:p>
        </w:tc>
        <w:tc>
          <w:tcPr>
            <w:tcW w:w="2127" w:type="dxa"/>
            <w:vAlign w:val="center"/>
          </w:tcPr>
          <w:p>
            <w:pPr>
              <w:ind w:firstLine="480"/>
              <w:jc w:val="center"/>
              <w:rPr>
                <w:color w:val="000000" w:themeColor="text1"/>
                <w:kern w:val="0"/>
                <w:sz w:val="20"/>
              </w:rPr>
            </w:pPr>
          </w:p>
        </w:tc>
        <w:tc>
          <w:tcPr>
            <w:tcW w:w="4262" w:type="dxa"/>
            <w:vAlign w:val="center"/>
          </w:tcPr>
          <w:p>
            <w:pPr>
              <w:ind w:firstLine="480"/>
              <w:jc w:val="center"/>
              <w:rPr>
                <w:color w:val="000000" w:themeColor="text1"/>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704" w:type="dxa"/>
            <w:vAlign w:val="center"/>
          </w:tcPr>
          <w:p>
            <w:pPr>
              <w:jc w:val="center"/>
              <w:rPr>
                <w:color w:val="000000" w:themeColor="text1"/>
                <w:kern w:val="0"/>
                <w:sz w:val="20"/>
              </w:rPr>
            </w:pPr>
            <w:r>
              <w:rPr>
                <w:rFonts w:hint="eastAsia"/>
                <w:color w:val="000000" w:themeColor="text1"/>
                <w:kern w:val="0"/>
                <w:sz w:val="20"/>
              </w:rPr>
              <w:t>1</w:t>
            </w:r>
            <w:r>
              <w:rPr>
                <w:color w:val="000000" w:themeColor="text1"/>
                <w:kern w:val="0"/>
                <w:sz w:val="20"/>
              </w:rPr>
              <w:t>3</w:t>
            </w:r>
          </w:p>
        </w:tc>
        <w:tc>
          <w:tcPr>
            <w:tcW w:w="2126" w:type="dxa"/>
            <w:vAlign w:val="center"/>
          </w:tcPr>
          <w:p>
            <w:pPr>
              <w:ind w:firstLine="480"/>
              <w:jc w:val="center"/>
              <w:rPr>
                <w:color w:val="000000" w:themeColor="text1"/>
                <w:kern w:val="0"/>
                <w:sz w:val="20"/>
              </w:rPr>
            </w:pPr>
          </w:p>
        </w:tc>
        <w:tc>
          <w:tcPr>
            <w:tcW w:w="2127" w:type="dxa"/>
            <w:vAlign w:val="center"/>
          </w:tcPr>
          <w:p>
            <w:pPr>
              <w:ind w:firstLine="480"/>
              <w:jc w:val="center"/>
              <w:rPr>
                <w:color w:val="000000" w:themeColor="text1"/>
                <w:kern w:val="0"/>
                <w:sz w:val="20"/>
              </w:rPr>
            </w:pPr>
          </w:p>
        </w:tc>
        <w:tc>
          <w:tcPr>
            <w:tcW w:w="4262" w:type="dxa"/>
            <w:vAlign w:val="center"/>
          </w:tcPr>
          <w:p>
            <w:pPr>
              <w:ind w:firstLine="480"/>
              <w:jc w:val="center"/>
              <w:rPr>
                <w:color w:val="000000" w:themeColor="text1"/>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704" w:type="dxa"/>
            <w:vAlign w:val="center"/>
          </w:tcPr>
          <w:p>
            <w:pPr>
              <w:jc w:val="center"/>
              <w:rPr>
                <w:color w:val="000000" w:themeColor="text1"/>
                <w:kern w:val="0"/>
                <w:sz w:val="20"/>
              </w:rPr>
            </w:pPr>
            <w:r>
              <w:rPr>
                <w:rFonts w:hint="eastAsia"/>
                <w:color w:val="000000" w:themeColor="text1"/>
                <w:kern w:val="0"/>
                <w:sz w:val="20"/>
              </w:rPr>
              <w:t>1</w:t>
            </w:r>
            <w:r>
              <w:rPr>
                <w:color w:val="000000" w:themeColor="text1"/>
                <w:kern w:val="0"/>
                <w:sz w:val="20"/>
              </w:rPr>
              <w:t>4</w:t>
            </w:r>
          </w:p>
        </w:tc>
        <w:tc>
          <w:tcPr>
            <w:tcW w:w="2126" w:type="dxa"/>
            <w:vAlign w:val="center"/>
          </w:tcPr>
          <w:p>
            <w:pPr>
              <w:ind w:firstLine="480"/>
              <w:jc w:val="center"/>
              <w:rPr>
                <w:color w:val="000000" w:themeColor="text1"/>
                <w:kern w:val="0"/>
                <w:sz w:val="20"/>
              </w:rPr>
            </w:pPr>
          </w:p>
        </w:tc>
        <w:tc>
          <w:tcPr>
            <w:tcW w:w="2127" w:type="dxa"/>
            <w:vAlign w:val="center"/>
          </w:tcPr>
          <w:p>
            <w:pPr>
              <w:ind w:firstLine="480"/>
              <w:jc w:val="center"/>
              <w:rPr>
                <w:color w:val="000000" w:themeColor="text1"/>
                <w:kern w:val="0"/>
                <w:sz w:val="20"/>
              </w:rPr>
            </w:pPr>
          </w:p>
        </w:tc>
        <w:tc>
          <w:tcPr>
            <w:tcW w:w="4262" w:type="dxa"/>
            <w:vAlign w:val="center"/>
          </w:tcPr>
          <w:p>
            <w:pPr>
              <w:ind w:firstLine="480"/>
              <w:jc w:val="center"/>
              <w:rPr>
                <w:color w:val="000000" w:themeColor="text1"/>
                <w:kern w:val="0"/>
                <w:sz w:val="20"/>
              </w:rPr>
            </w:pPr>
          </w:p>
        </w:tc>
      </w:tr>
    </w:tbl>
    <w:p>
      <w:pPr>
        <w:pStyle w:val="2"/>
        <w:spacing w:before="0" w:beforeAutospacing="0" w:after="0" w:afterAutospacing="0"/>
        <w:rPr>
          <w:color w:val="000000" w:themeColor="text1"/>
          <w:sz w:val="28"/>
          <w:szCs w:val="28"/>
        </w:rPr>
      </w:pPr>
      <w:bookmarkStart w:id="15" w:name="_Toc501107803"/>
      <w:r>
        <w:rPr>
          <w:rFonts w:hint="eastAsia"/>
          <w:color w:val="000000" w:themeColor="text1"/>
          <w:sz w:val="28"/>
          <w:szCs w:val="28"/>
        </w:rPr>
        <w:t>附件2.4：供应商年度质量目标</w:t>
      </w:r>
    </w:p>
    <w:p>
      <w:pPr>
        <w:ind w:firstLine="420"/>
        <w:jc w:val="center"/>
        <w:rPr>
          <w:rFonts w:asciiTheme="minorEastAsia" w:hAnsiTheme="minorEastAsia" w:eastAsiaTheme="minorEastAsia"/>
          <w:b/>
          <w:color w:val="000000" w:themeColor="text1"/>
          <w:sz w:val="16"/>
        </w:rPr>
      </w:pPr>
      <w:r>
        <w:rPr>
          <w:rFonts w:hint="eastAsia" w:asciiTheme="minorEastAsia" w:hAnsiTheme="minorEastAsia" w:eastAsiaTheme="minorEastAsia"/>
          <w:b/>
          <w:color w:val="000000" w:themeColor="text1"/>
          <w:szCs w:val="21"/>
          <w:u w:val="single"/>
        </w:rPr>
        <w:t xml:space="preserve"> </w:t>
      </w:r>
      <w:r>
        <w:rPr>
          <w:rFonts w:hint="eastAsia" w:asciiTheme="minorEastAsia" w:hAnsiTheme="minorEastAsia" w:eastAsiaTheme="minorEastAsia"/>
          <w:b/>
          <w:color w:val="0000FF"/>
          <w:szCs w:val="21"/>
          <w:u w:val="single"/>
        </w:rPr>
        <w:t xml:space="preserve">  2020   </w:t>
      </w:r>
      <w:r>
        <w:rPr>
          <w:rFonts w:hint="eastAsia" w:asciiTheme="minorEastAsia" w:hAnsiTheme="minorEastAsia" w:eastAsiaTheme="minorEastAsia"/>
          <w:b/>
          <w:color w:val="0000FF"/>
          <w:szCs w:val="21"/>
        </w:rPr>
        <w:t>年</w:t>
      </w:r>
      <w:r>
        <w:rPr>
          <w:rFonts w:hint="eastAsia" w:asciiTheme="minorEastAsia" w:hAnsiTheme="minorEastAsia" w:eastAsiaTheme="minorEastAsia"/>
          <w:b/>
          <w:color w:val="000000" w:themeColor="text1"/>
        </w:rPr>
        <w:t>度质量目标</w:t>
      </w:r>
    </w:p>
    <w:p>
      <w:pPr>
        <w:ind w:firstLine="420"/>
        <w:rPr>
          <w:rFonts w:asciiTheme="minorEastAsia" w:hAnsiTheme="minorEastAsia" w:eastAsiaTheme="minorEastAsia"/>
          <w:color w:val="000000" w:themeColor="text1"/>
          <w:szCs w:val="21"/>
        </w:rPr>
      </w:pPr>
      <w:r>
        <w:rPr>
          <w:rFonts w:asciiTheme="minorEastAsia" w:hAnsiTheme="minorEastAsia" w:eastAsiaTheme="minorEastAsia"/>
          <w:color w:val="000000" w:themeColor="text1"/>
          <w:szCs w:val="21"/>
        </w:rPr>
        <w:t>尊敬的供应商：</w:t>
      </w:r>
    </w:p>
    <w:p>
      <w:pPr>
        <w:spacing w:line="276" w:lineRule="auto"/>
        <w:ind w:firstLine="420"/>
        <w:rPr>
          <w:rFonts w:asciiTheme="minorEastAsia" w:hAnsiTheme="minorEastAsia" w:eastAsiaTheme="minorEastAsia"/>
          <w:color w:val="000000" w:themeColor="text1"/>
          <w:szCs w:val="21"/>
        </w:rPr>
      </w:pPr>
      <w:r>
        <w:rPr>
          <w:rFonts w:asciiTheme="minorEastAsia" w:hAnsiTheme="minorEastAsia" w:eastAsiaTheme="minorEastAsia"/>
          <w:color w:val="000000" w:themeColor="text1"/>
          <w:szCs w:val="21"/>
        </w:rPr>
        <w:t xml:space="preserve">感谢贵司一直以来对我公司的大力支持，为了进一步确保贵司产品质量的稳定和持续提升，我公司制定了 </w:t>
      </w:r>
      <w:r>
        <w:rPr>
          <w:rFonts w:hint="eastAsia" w:asciiTheme="minorEastAsia" w:hAnsiTheme="minorEastAsia" w:eastAsiaTheme="minorEastAsia"/>
          <w:color w:val="000000" w:themeColor="text1"/>
          <w:szCs w:val="21"/>
          <w:u w:val="single"/>
        </w:rPr>
        <w:t xml:space="preserve"> 2019</w:t>
      </w:r>
      <w:r>
        <w:rPr>
          <w:rFonts w:asciiTheme="minorEastAsia" w:hAnsiTheme="minorEastAsia" w:eastAsiaTheme="minorEastAsia"/>
          <w:color w:val="000000" w:themeColor="text1"/>
          <w:szCs w:val="21"/>
          <w:u w:val="single"/>
        </w:rPr>
        <w:t xml:space="preserve"> </w:t>
      </w:r>
      <w:r>
        <w:rPr>
          <w:rFonts w:asciiTheme="minorEastAsia" w:hAnsiTheme="minorEastAsia" w:eastAsiaTheme="minorEastAsia"/>
          <w:color w:val="000000" w:themeColor="text1"/>
          <w:szCs w:val="21"/>
        </w:rPr>
        <w:t xml:space="preserve">年度供应商物料品质控制目标，该目标将作为 </w:t>
      </w:r>
      <w:r>
        <w:rPr>
          <w:rFonts w:hint="eastAsia" w:asciiTheme="minorEastAsia" w:hAnsiTheme="minorEastAsia" w:eastAsiaTheme="minorEastAsia"/>
          <w:color w:val="000000" w:themeColor="text1"/>
          <w:szCs w:val="21"/>
          <w:u w:val="single"/>
        </w:rPr>
        <w:t>2019</w:t>
      </w:r>
      <w:r>
        <w:rPr>
          <w:rFonts w:asciiTheme="minorEastAsia" w:hAnsiTheme="minorEastAsia" w:eastAsiaTheme="minorEastAsia"/>
          <w:color w:val="000000" w:themeColor="text1"/>
          <w:szCs w:val="21"/>
        </w:rPr>
        <w:t>年度供应商违约考核指标之一，将直接关系到贵司的经济利益，因此，为了最大限度地保护贵司利益，烦请贵司审慎对待。</w:t>
      </w:r>
    </w:p>
    <w:tbl>
      <w:tblPr>
        <w:tblStyle w:val="11"/>
        <w:tblW w:w="93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5"/>
        <w:gridCol w:w="779"/>
        <w:gridCol w:w="3375"/>
        <w:gridCol w:w="3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15" w:type="dxa"/>
            <w:vAlign w:val="center"/>
          </w:tcPr>
          <w:p>
            <w:pPr>
              <w:jc w:val="center"/>
              <w:rPr>
                <w:rFonts w:asciiTheme="minorEastAsia" w:hAnsiTheme="minorEastAsia" w:eastAsiaTheme="minorEastAsia"/>
                <w:color w:val="000000" w:themeColor="text1"/>
                <w:kern w:val="0"/>
                <w:sz w:val="20"/>
              </w:rPr>
            </w:pPr>
            <w:r>
              <w:rPr>
                <w:rFonts w:asciiTheme="minorEastAsia" w:hAnsiTheme="minorEastAsia" w:eastAsiaTheme="minorEastAsia"/>
                <w:color w:val="000000" w:themeColor="text1"/>
                <w:kern w:val="0"/>
                <w:sz w:val="20"/>
              </w:rPr>
              <w:t>项目</w:t>
            </w:r>
          </w:p>
        </w:tc>
        <w:tc>
          <w:tcPr>
            <w:tcW w:w="779" w:type="dxa"/>
            <w:vAlign w:val="center"/>
          </w:tcPr>
          <w:p>
            <w:pPr>
              <w:jc w:val="center"/>
              <w:rPr>
                <w:rFonts w:asciiTheme="minorEastAsia" w:hAnsiTheme="minorEastAsia" w:eastAsiaTheme="minorEastAsia"/>
                <w:color w:val="000000" w:themeColor="text1"/>
                <w:kern w:val="0"/>
                <w:sz w:val="20"/>
              </w:rPr>
            </w:pPr>
            <w:r>
              <w:rPr>
                <w:rFonts w:asciiTheme="minorEastAsia" w:hAnsiTheme="minorEastAsia" w:eastAsiaTheme="minorEastAsia"/>
                <w:color w:val="000000" w:themeColor="text1"/>
                <w:kern w:val="0"/>
                <w:sz w:val="20"/>
              </w:rPr>
              <w:t>目标值</w:t>
            </w:r>
          </w:p>
        </w:tc>
        <w:tc>
          <w:tcPr>
            <w:tcW w:w="3375" w:type="dxa"/>
            <w:vAlign w:val="center"/>
          </w:tcPr>
          <w:p>
            <w:pPr>
              <w:jc w:val="center"/>
              <w:rPr>
                <w:rFonts w:asciiTheme="minorEastAsia" w:hAnsiTheme="minorEastAsia" w:eastAsiaTheme="minorEastAsia"/>
                <w:color w:val="000000" w:themeColor="text1"/>
                <w:kern w:val="0"/>
                <w:sz w:val="20"/>
              </w:rPr>
            </w:pPr>
          </w:p>
        </w:tc>
        <w:tc>
          <w:tcPr>
            <w:tcW w:w="3375" w:type="dxa"/>
            <w:vAlign w:val="center"/>
          </w:tcPr>
          <w:p>
            <w:pPr>
              <w:jc w:val="center"/>
              <w:rPr>
                <w:rFonts w:asciiTheme="minorEastAsia" w:hAnsiTheme="minorEastAsia" w:eastAsiaTheme="minorEastAsia"/>
                <w:color w:val="000000" w:themeColor="text1"/>
                <w:kern w:val="0"/>
                <w:sz w:val="20"/>
              </w:rPr>
            </w:pPr>
            <w:r>
              <w:rPr>
                <w:rFonts w:asciiTheme="minorEastAsia" w:hAnsiTheme="minorEastAsia" w:eastAsiaTheme="minorEastAsia"/>
                <w:color w:val="000000" w:themeColor="text1"/>
                <w:kern w:val="0"/>
                <w:sz w:val="20"/>
              </w:rPr>
              <w:t>考核条例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815" w:type="dxa"/>
            <w:vAlign w:val="center"/>
          </w:tcPr>
          <w:p>
            <w:pPr>
              <w:rPr>
                <w:rFonts w:asciiTheme="minorEastAsia" w:hAnsiTheme="minorEastAsia" w:eastAsiaTheme="minorEastAsia"/>
                <w:color w:val="000000" w:themeColor="text1"/>
                <w:kern w:val="0"/>
                <w:sz w:val="20"/>
              </w:rPr>
            </w:pPr>
            <w:r>
              <w:rPr>
                <w:rFonts w:asciiTheme="minorEastAsia" w:hAnsiTheme="minorEastAsia" w:eastAsiaTheme="minorEastAsia"/>
                <w:color w:val="000000" w:themeColor="text1"/>
                <w:kern w:val="0"/>
                <w:sz w:val="20"/>
              </w:rPr>
              <w:t>过程审核完成率</w:t>
            </w:r>
            <w:r>
              <w:rPr>
                <w:rFonts w:hint="eastAsia" w:asciiTheme="minorEastAsia" w:hAnsiTheme="minorEastAsia" w:eastAsiaTheme="minorEastAsia"/>
                <w:color w:val="000000" w:themeColor="text1"/>
                <w:kern w:val="0"/>
                <w:sz w:val="20"/>
              </w:rPr>
              <w:t>（每年）</w:t>
            </w:r>
          </w:p>
        </w:tc>
        <w:tc>
          <w:tcPr>
            <w:tcW w:w="779" w:type="dxa"/>
            <w:vAlign w:val="center"/>
          </w:tcPr>
          <w:p>
            <w:pPr>
              <w:jc w:val="center"/>
              <w:rPr>
                <w:rFonts w:asciiTheme="minorEastAsia" w:hAnsiTheme="minorEastAsia" w:eastAsiaTheme="minorEastAsia"/>
                <w:color w:val="000000" w:themeColor="text1"/>
                <w:kern w:val="0"/>
                <w:sz w:val="20"/>
              </w:rPr>
            </w:pPr>
            <w:r>
              <w:rPr>
                <w:rFonts w:hint="eastAsia" w:asciiTheme="minorEastAsia" w:hAnsiTheme="minorEastAsia" w:eastAsiaTheme="minorEastAsia"/>
                <w:color w:val="000000" w:themeColor="text1"/>
                <w:kern w:val="0"/>
                <w:sz w:val="20"/>
              </w:rPr>
              <w:t>100%</w:t>
            </w:r>
          </w:p>
        </w:tc>
        <w:tc>
          <w:tcPr>
            <w:tcW w:w="3375" w:type="dxa"/>
            <w:vAlign w:val="center"/>
          </w:tcPr>
          <w:p>
            <w:pPr>
              <w:rPr>
                <w:rFonts w:asciiTheme="minorEastAsia" w:hAnsiTheme="minorEastAsia" w:eastAsiaTheme="minorEastAsia"/>
                <w:color w:val="000000" w:themeColor="text1"/>
                <w:kern w:val="0"/>
                <w:sz w:val="20"/>
              </w:rPr>
            </w:pPr>
          </w:p>
        </w:tc>
        <w:tc>
          <w:tcPr>
            <w:tcW w:w="3375" w:type="dxa"/>
            <w:vAlign w:val="center"/>
          </w:tcPr>
          <w:p>
            <w:pPr>
              <w:rPr>
                <w:rFonts w:asciiTheme="minorEastAsia" w:hAnsiTheme="minorEastAsia" w:eastAsiaTheme="minorEastAsia"/>
                <w:color w:val="000000" w:themeColor="text1"/>
                <w:kern w:val="0"/>
                <w:sz w:val="20"/>
              </w:rPr>
            </w:pPr>
            <w:r>
              <w:rPr>
                <w:rFonts w:asciiTheme="minorEastAsia" w:hAnsiTheme="minorEastAsia" w:eastAsiaTheme="minorEastAsia"/>
                <w:color w:val="000000" w:themeColor="text1"/>
                <w:kern w:val="0"/>
                <w:sz w:val="20"/>
              </w:rPr>
              <w:t>规定时间未完成，考核未达标违约金</w:t>
            </w:r>
            <w:r>
              <w:rPr>
                <w:rFonts w:hint="eastAsia" w:asciiTheme="minorEastAsia" w:hAnsiTheme="minorEastAsia" w:eastAsiaTheme="minorEastAsia"/>
                <w:color w:val="000000" w:themeColor="text1"/>
                <w:kern w:val="0"/>
                <w:sz w:val="20"/>
              </w:rPr>
              <w:t>2000-5000元/次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15" w:type="dxa"/>
            <w:vAlign w:val="center"/>
          </w:tcPr>
          <w:p>
            <w:pPr>
              <w:rPr>
                <w:rFonts w:asciiTheme="minorEastAsia" w:hAnsiTheme="minorEastAsia" w:eastAsiaTheme="minorEastAsia"/>
                <w:color w:val="000000" w:themeColor="text1"/>
                <w:kern w:val="0"/>
                <w:sz w:val="20"/>
              </w:rPr>
            </w:pPr>
            <w:r>
              <w:rPr>
                <w:rFonts w:asciiTheme="minorEastAsia" w:hAnsiTheme="minorEastAsia" w:eastAsiaTheme="minorEastAsia"/>
                <w:color w:val="000000" w:themeColor="text1"/>
                <w:kern w:val="0"/>
                <w:sz w:val="20"/>
              </w:rPr>
              <w:t>产品审核完成率（每</w:t>
            </w:r>
            <w:r>
              <w:rPr>
                <w:rFonts w:hint="eastAsia" w:asciiTheme="minorEastAsia" w:hAnsiTheme="minorEastAsia" w:eastAsiaTheme="minorEastAsia"/>
                <w:color w:val="000000" w:themeColor="text1"/>
                <w:kern w:val="0"/>
                <w:sz w:val="20"/>
              </w:rPr>
              <w:t>6个月</w:t>
            </w:r>
            <w:r>
              <w:rPr>
                <w:rFonts w:asciiTheme="minorEastAsia" w:hAnsiTheme="minorEastAsia" w:eastAsiaTheme="minorEastAsia"/>
                <w:color w:val="000000" w:themeColor="text1"/>
                <w:kern w:val="0"/>
                <w:sz w:val="20"/>
              </w:rPr>
              <w:t>）</w:t>
            </w:r>
          </w:p>
        </w:tc>
        <w:tc>
          <w:tcPr>
            <w:tcW w:w="779" w:type="dxa"/>
            <w:vAlign w:val="center"/>
          </w:tcPr>
          <w:p>
            <w:pPr>
              <w:jc w:val="center"/>
              <w:rPr>
                <w:rFonts w:asciiTheme="minorEastAsia" w:hAnsiTheme="minorEastAsia" w:eastAsiaTheme="minorEastAsia"/>
                <w:color w:val="000000" w:themeColor="text1"/>
                <w:kern w:val="0"/>
                <w:sz w:val="20"/>
              </w:rPr>
            </w:pPr>
            <w:r>
              <w:rPr>
                <w:rFonts w:hint="eastAsia" w:asciiTheme="minorEastAsia" w:hAnsiTheme="minorEastAsia" w:eastAsiaTheme="minorEastAsia"/>
                <w:color w:val="000000" w:themeColor="text1"/>
                <w:kern w:val="0"/>
                <w:sz w:val="20"/>
              </w:rPr>
              <w:t>100%</w:t>
            </w:r>
          </w:p>
        </w:tc>
        <w:tc>
          <w:tcPr>
            <w:tcW w:w="3375" w:type="dxa"/>
            <w:vAlign w:val="center"/>
          </w:tcPr>
          <w:p>
            <w:pPr>
              <w:rPr>
                <w:rFonts w:asciiTheme="minorEastAsia" w:hAnsiTheme="minorEastAsia" w:eastAsiaTheme="minorEastAsia"/>
                <w:color w:val="000000" w:themeColor="text1"/>
                <w:kern w:val="0"/>
                <w:sz w:val="20"/>
              </w:rPr>
            </w:pPr>
          </w:p>
        </w:tc>
        <w:tc>
          <w:tcPr>
            <w:tcW w:w="3375" w:type="dxa"/>
            <w:vAlign w:val="center"/>
          </w:tcPr>
          <w:p>
            <w:pPr>
              <w:rPr>
                <w:rFonts w:asciiTheme="minorEastAsia" w:hAnsiTheme="minorEastAsia" w:eastAsiaTheme="minorEastAsia"/>
                <w:color w:val="000000" w:themeColor="text1"/>
                <w:kern w:val="0"/>
                <w:sz w:val="20"/>
              </w:rPr>
            </w:pPr>
            <w:r>
              <w:rPr>
                <w:rFonts w:asciiTheme="minorEastAsia" w:hAnsiTheme="minorEastAsia" w:eastAsiaTheme="minorEastAsia"/>
                <w:color w:val="000000" w:themeColor="text1"/>
                <w:kern w:val="0"/>
                <w:sz w:val="20"/>
              </w:rPr>
              <w:t>规定时间未完成，考核未达标违约金</w:t>
            </w:r>
            <w:r>
              <w:rPr>
                <w:rFonts w:hint="eastAsia" w:asciiTheme="minorEastAsia" w:hAnsiTheme="minorEastAsia" w:eastAsiaTheme="minorEastAsia"/>
                <w:color w:val="000000" w:themeColor="text1"/>
                <w:kern w:val="0"/>
                <w:sz w:val="20"/>
              </w:rPr>
              <w:t>1000-3000元/次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15" w:type="dxa"/>
            <w:vAlign w:val="center"/>
          </w:tcPr>
          <w:p>
            <w:pPr>
              <w:rPr>
                <w:rFonts w:asciiTheme="minorEastAsia" w:hAnsiTheme="minorEastAsia" w:eastAsiaTheme="minorEastAsia"/>
                <w:color w:val="000000" w:themeColor="text1"/>
                <w:kern w:val="0"/>
                <w:sz w:val="20"/>
              </w:rPr>
            </w:pPr>
            <w:r>
              <w:rPr>
                <w:rFonts w:asciiTheme="minorEastAsia" w:hAnsiTheme="minorEastAsia" w:eastAsiaTheme="minorEastAsia"/>
                <w:color w:val="000000" w:themeColor="text1"/>
                <w:kern w:val="0"/>
                <w:sz w:val="20"/>
              </w:rPr>
              <w:t>交付零件合格率（每季度）</w:t>
            </w:r>
          </w:p>
        </w:tc>
        <w:tc>
          <w:tcPr>
            <w:tcW w:w="779" w:type="dxa"/>
            <w:vAlign w:val="center"/>
          </w:tcPr>
          <w:p>
            <w:pPr>
              <w:jc w:val="center"/>
              <w:rPr>
                <w:rFonts w:asciiTheme="minorEastAsia" w:hAnsiTheme="minorEastAsia" w:eastAsiaTheme="minorEastAsia"/>
                <w:color w:val="000000" w:themeColor="text1"/>
                <w:kern w:val="0"/>
                <w:sz w:val="20"/>
              </w:rPr>
            </w:pPr>
            <w:r>
              <w:rPr>
                <w:rFonts w:hint="eastAsia" w:asciiTheme="minorEastAsia" w:hAnsiTheme="minorEastAsia" w:eastAsiaTheme="minorEastAsia"/>
                <w:color w:val="000000" w:themeColor="text1"/>
                <w:kern w:val="0"/>
                <w:sz w:val="20"/>
              </w:rPr>
              <w:t>≥90%</w:t>
            </w:r>
          </w:p>
        </w:tc>
        <w:tc>
          <w:tcPr>
            <w:tcW w:w="3375" w:type="dxa"/>
            <w:vAlign w:val="center"/>
          </w:tcPr>
          <w:p>
            <w:pPr>
              <w:rPr>
                <w:rFonts w:asciiTheme="minorEastAsia" w:hAnsiTheme="minorEastAsia" w:eastAsiaTheme="minorEastAsia"/>
                <w:color w:val="000000" w:themeColor="text1"/>
                <w:kern w:val="0"/>
                <w:sz w:val="20"/>
              </w:rPr>
            </w:pPr>
          </w:p>
        </w:tc>
        <w:tc>
          <w:tcPr>
            <w:tcW w:w="3375" w:type="dxa"/>
            <w:vAlign w:val="center"/>
          </w:tcPr>
          <w:p>
            <w:pPr>
              <w:rPr>
                <w:rFonts w:asciiTheme="minorEastAsia" w:hAnsiTheme="minorEastAsia" w:eastAsiaTheme="minorEastAsia"/>
                <w:color w:val="000000" w:themeColor="text1"/>
                <w:kern w:val="0"/>
                <w:sz w:val="20"/>
              </w:rPr>
            </w:pPr>
            <w:r>
              <w:rPr>
                <w:rFonts w:hint="eastAsia" w:asciiTheme="minorEastAsia" w:hAnsiTheme="minorEastAsia" w:eastAsiaTheme="minorEastAsia"/>
                <w:color w:val="000000" w:themeColor="text1"/>
                <w:kern w:val="0"/>
                <w:sz w:val="20"/>
              </w:rPr>
              <w:t>未达标时，</w:t>
            </w:r>
            <w:r>
              <w:rPr>
                <w:rFonts w:asciiTheme="minorEastAsia" w:hAnsiTheme="minorEastAsia" w:eastAsiaTheme="minorEastAsia"/>
                <w:color w:val="000000" w:themeColor="text1"/>
                <w:kern w:val="0"/>
                <w:sz w:val="20"/>
              </w:rPr>
              <w:t>每相差</w:t>
            </w:r>
            <w:r>
              <w:rPr>
                <w:rFonts w:hint="eastAsia" w:asciiTheme="minorEastAsia" w:hAnsiTheme="minorEastAsia" w:eastAsiaTheme="minorEastAsia"/>
                <w:color w:val="000000" w:themeColor="text1"/>
                <w:kern w:val="0"/>
                <w:sz w:val="20"/>
              </w:rPr>
              <w:t>1%</w:t>
            </w:r>
            <w:r>
              <w:rPr>
                <w:rFonts w:asciiTheme="minorEastAsia" w:hAnsiTheme="minorEastAsia" w:eastAsiaTheme="minorEastAsia"/>
                <w:color w:val="000000" w:themeColor="text1"/>
                <w:kern w:val="0"/>
                <w:sz w:val="20"/>
              </w:rPr>
              <w:t>考核未达标违约金</w:t>
            </w:r>
            <w:r>
              <w:rPr>
                <w:rFonts w:hint="eastAsia" w:asciiTheme="minorEastAsia" w:hAnsiTheme="minorEastAsia" w:eastAsiaTheme="minorEastAsia"/>
                <w:color w:val="000000" w:themeColor="text1"/>
                <w:kern w:val="0"/>
                <w:sz w:val="20"/>
              </w:rPr>
              <w:t>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815" w:type="dxa"/>
            <w:vAlign w:val="center"/>
          </w:tcPr>
          <w:p>
            <w:pPr>
              <w:rPr>
                <w:rFonts w:asciiTheme="minorEastAsia" w:hAnsiTheme="minorEastAsia" w:eastAsiaTheme="minorEastAsia"/>
                <w:color w:val="000000" w:themeColor="text1"/>
                <w:kern w:val="0"/>
                <w:sz w:val="20"/>
              </w:rPr>
            </w:pPr>
            <w:r>
              <w:rPr>
                <w:rFonts w:asciiTheme="minorEastAsia" w:hAnsiTheme="minorEastAsia" w:eastAsiaTheme="minorEastAsia"/>
                <w:color w:val="000000" w:themeColor="text1"/>
                <w:kern w:val="0"/>
                <w:sz w:val="20"/>
              </w:rPr>
              <w:t>质量问题整改率（每</w:t>
            </w:r>
            <w:r>
              <w:rPr>
                <w:rFonts w:hint="eastAsia" w:asciiTheme="minorEastAsia" w:hAnsiTheme="minorEastAsia" w:eastAsiaTheme="minorEastAsia"/>
                <w:color w:val="000000" w:themeColor="text1"/>
                <w:kern w:val="0"/>
                <w:sz w:val="20"/>
              </w:rPr>
              <w:t>季度</w:t>
            </w:r>
            <w:r>
              <w:rPr>
                <w:rFonts w:asciiTheme="minorEastAsia" w:hAnsiTheme="minorEastAsia" w:eastAsiaTheme="minorEastAsia"/>
                <w:color w:val="000000" w:themeColor="text1"/>
                <w:kern w:val="0"/>
                <w:sz w:val="20"/>
              </w:rPr>
              <w:t>）</w:t>
            </w:r>
          </w:p>
        </w:tc>
        <w:tc>
          <w:tcPr>
            <w:tcW w:w="779" w:type="dxa"/>
            <w:vAlign w:val="center"/>
          </w:tcPr>
          <w:p>
            <w:pPr>
              <w:jc w:val="center"/>
              <w:rPr>
                <w:rFonts w:asciiTheme="minorEastAsia" w:hAnsiTheme="minorEastAsia" w:eastAsiaTheme="minorEastAsia"/>
                <w:color w:val="000000" w:themeColor="text1"/>
                <w:kern w:val="0"/>
                <w:sz w:val="20"/>
              </w:rPr>
            </w:pPr>
            <w:r>
              <w:rPr>
                <w:rFonts w:hint="eastAsia" w:asciiTheme="minorEastAsia" w:hAnsiTheme="minorEastAsia" w:eastAsiaTheme="minorEastAsia"/>
                <w:color w:val="000000" w:themeColor="text1"/>
                <w:kern w:val="0"/>
                <w:sz w:val="20"/>
              </w:rPr>
              <w:t>100%</w:t>
            </w:r>
          </w:p>
        </w:tc>
        <w:tc>
          <w:tcPr>
            <w:tcW w:w="3375" w:type="dxa"/>
            <w:vAlign w:val="center"/>
          </w:tcPr>
          <w:p>
            <w:pPr>
              <w:rPr>
                <w:rFonts w:asciiTheme="minorEastAsia" w:hAnsiTheme="minorEastAsia" w:eastAsiaTheme="minorEastAsia"/>
                <w:color w:val="000000" w:themeColor="text1"/>
                <w:kern w:val="0"/>
                <w:sz w:val="20"/>
              </w:rPr>
            </w:pPr>
          </w:p>
        </w:tc>
        <w:tc>
          <w:tcPr>
            <w:tcW w:w="3375" w:type="dxa"/>
            <w:vAlign w:val="center"/>
          </w:tcPr>
          <w:p>
            <w:pPr>
              <w:rPr>
                <w:rFonts w:asciiTheme="minorEastAsia" w:hAnsiTheme="minorEastAsia" w:eastAsiaTheme="minorEastAsia"/>
                <w:color w:val="000000" w:themeColor="text1"/>
                <w:kern w:val="0"/>
                <w:sz w:val="20"/>
              </w:rPr>
            </w:pPr>
            <w:r>
              <w:rPr>
                <w:rFonts w:asciiTheme="minorEastAsia" w:hAnsiTheme="minorEastAsia" w:eastAsiaTheme="minorEastAsia"/>
                <w:color w:val="000000" w:themeColor="text1"/>
                <w:kern w:val="0"/>
                <w:sz w:val="20"/>
              </w:rPr>
              <w:t>未</w:t>
            </w:r>
            <w:r>
              <w:rPr>
                <w:rFonts w:hint="eastAsia" w:asciiTheme="minorEastAsia" w:hAnsiTheme="minorEastAsia" w:eastAsiaTheme="minorEastAsia"/>
                <w:color w:val="000000" w:themeColor="text1"/>
                <w:kern w:val="0"/>
                <w:sz w:val="20"/>
              </w:rPr>
              <w:t>达标时</w:t>
            </w:r>
            <w:r>
              <w:rPr>
                <w:rFonts w:asciiTheme="minorEastAsia" w:hAnsiTheme="minorEastAsia" w:eastAsiaTheme="minorEastAsia"/>
                <w:color w:val="000000" w:themeColor="text1"/>
                <w:kern w:val="0"/>
                <w:sz w:val="20"/>
              </w:rPr>
              <w:t>，考核未达标违约金1</w:t>
            </w:r>
            <w:r>
              <w:rPr>
                <w:rFonts w:hint="eastAsia" w:asciiTheme="minorEastAsia" w:hAnsiTheme="minorEastAsia" w:eastAsiaTheme="minorEastAsia"/>
                <w:color w:val="000000" w:themeColor="text1"/>
                <w:kern w:val="0"/>
                <w:sz w:val="20"/>
              </w:rPr>
              <w:t>000-3000元/项（可累计）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815" w:type="dxa"/>
            <w:vAlign w:val="center"/>
          </w:tcPr>
          <w:p>
            <w:pPr>
              <w:rPr>
                <w:rFonts w:asciiTheme="minorEastAsia" w:hAnsiTheme="minorEastAsia" w:eastAsiaTheme="minorEastAsia"/>
                <w:color w:val="000000" w:themeColor="text1"/>
                <w:kern w:val="0"/>
                <w:sz w:val="20"/>
              </w:rPr>
            </w:pPr>
            <w:r>
              <w:rPr>
                <w:rFonts w:asciiTheme="minorEastAsia" w:hAnsiTheme="minorEastAsia" w:eastAsiaTheme="minorEastAsia"/>
                <w:color w:val="000000" w:themeColor="text1"/>
                <w:kern w:val="0"/>
                <w:sz w:val="20"/>
              </w:rPr>
              <w:t>一次交验合格率（每季度）</w:t>
            </w:r>
          </w:p>
        </w:tc>
        <w:tc>
          <w:tcPr>
            <w:tcW w:w="779" w:type="dxa"/>
            <w:vAlign w:val="center"/>
          </w:tcPr>
          <w:p>
            <w:pPr>
              <w:jc w:val="center"/>
              <w:rPr>
                <w:rFonts w:asciiTheme="minorEastAsia" w:hAnsiTheme="minorEastAsia" w:eastAsiaTheme="minorEastAsia"/>
                <w:color w:val="000000" w:themeColor="text1"/>
                <w:kern w:val="0"/>
                <w:sz w:val="20"/>
              </w:rPr>
            </w:pPr>
            <w:r>
              <w:rPr>
                <w:rFonts w:hint="eastAsia" w:asciiTheme="minorEastAsia" w:hAnsiTheme="minorEastAsia" w:eastAsiaTheme="minorEastAsia"/>
                <w:color w:val="000000" w:themeColor="text1"/>
                <w:kern w:val="0"/>
                <w:sz w:val="20"/>
              </w:rPr>
              <w:t>≥80%</w:t>
            </w:r>
          </w:p>
        </w:tc>
        <w:tc>
          <w:tcPr>
            <w:tcW w:w="3375" w:type="dxa"/>
            <w:vAlign w:val="center"/>
          </w:tcPr>
          <w:p>
            <w:pPr>
              <w:rPr>
                <w:rFonts w:asciiTheme="minorEastAsia" w:hAnsiTheme="minorEastAsia" w:eastAsiaTheme="minorEastAsia"/>
                <w:color w:val="000000" w:themeColor="text1"/>
                <w:kern w:val="0"/>
                <w:sz w:val="20"/>
              </w:rPr>
            </w:pPr>
          </w:p>
        </w:tc>
        <w:tc>
          <w:tcPr>
            <w:tcW w:w="3375" w:type="dxa"/>
            <w:vAlign w:val="center"/>
          </w:tcPr>
          <w:p>
            <w:pPr>
              <w:rPr>
                <w:rFonts w:asciiTheme="minorEastAsia" w:hAnsiTheme="minorEastAsia" w:eastAsiaTheme="minorEastAsia"/>
                <w:color w:val="000000" w:themeColor="text1"/>
                <w:kern w:val="0"/>
                <w:sz w:val="20"/>
              </w:rPr>
            </w:pPr>
            <w:r>
              <w:rPr>
                <w:rFonts w:hint="eastAsia" w:asciiTheme="minorEastAsia" w:hAnsiTheme="minorEastAsia" w:eastAsiaTheme="minorEastAsia"/>
                <w:color w:val="000000" w:themeColor="text1"/>
                <w:kern w:val="0"/>
                <w:sz w:val="20"/>
              </w:rPr>
              <w:t>未达成目标时</w:t>
            </w:r>
            <w:r>
              <w:rPr>
                <w:rFonts w:asciiTheme="minorEastAsia" w:hAnsiTheme="minorEastAsia" w:eastAsiaTheme="minorEastAsia"/>
                <w:color w:val="000000" w:themeColor="text1"/>
                <w:kern w:val="0"/>
                <w:sz w:val="20"/>
              </w:rPr>
              <w:t>每相差</w:t>
            </w:r>
            <w:r>
              <w:rPr>
                <w:rFonts w:hint="eastAsia" w:asciiTheme="minorEastAsia" w:hAnsiTheme="minorEastAsia" w:eastAsiaTheme="minorEastAsia"/>
                <w:color w:val="000000" w:themeColor="text1"/>
                <w:kern w:val="0"/>
                <w:sz w:val="20"/>
              </w:rPr>
              <w:t>1%</w:t>
            </w:r>
            <w:r>
              <w:rPr>
                <w:rFonts w:asciiTheme="minorEastAsia" w:hAnsiTheme="minorEastAsia" w:eastAsiaTheme="minorEastAsia"/>
                <w:color w:val="000000" w:themeColor="text1"/>
                <w:kern w:val="0"/>
                <w:sz w:val="20"/>
              </w:rPr>
              <w:t>考核未达标违约金10</w:t>
            </w:r>
            <w:r>
              <w:rPr>
                <w:rFonts w:hint="eastAsia" w:asciiTheme="minorEastAsia" w:hAnsiTheme="minorEastAsia" w:eastAsiaTheme="minorEastAsia"/>
                <w:color w:val="000000" w:themeColor="text1"/>
                <w:kern w:val="0"/>
                <w:sz w:val="20"/>
              </w:rPr>
              <w:t>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815" w:type="dxa"/>
            <w:vAlign w:val="center"/>
          </w:tcPr>
          <w:p>
            <w:pPr>
              <w:rPr>
                <w:rFonts w:asciiTheme="minorEastAsia" w:hAnsiTheme="minorEastAsia" w:eastAsiaTheme="minorEastAsia"/>
                <w:color w:val="000000" w:themeColor="text1"/>
                <w:kern w:val="0"/>
                <w:sz w:val="20"/>
              </w:rPr>
            </w:pPr>
            <w:r>
              <w:rPr>
                <w:rFonts w:hint="eastAsia" w:asciiTheme="minorEastAsia" w:hAnsiTheme="minorEastAsia" w:eastAsiaTheme="minorEastAsia"/>
                <w:color w:val="000000" w:themeColor="text1"/>
                <w:kern w:val="0"/>
                <w:sz w:val="20"/>
              </w:rPr>
              <w:t>批次交验合格率（每季度）</w:t>
            </w:r>
          </w:p>
        </w:tc>
        <w:tc>
          <w:tcPr>
            <w:tcW w:w="779" w:type="dxa"/>
            <w:vAlign w:val="center"/>
          </w:tcPr>
          <w:p>
            <w:pPr>
              <w:jc w:val="center"/>
              <w:rPr>
                <w:rFonts w:asciiTheme="minorEastAsia" w:hAnsiTheme="minorEastAsia" w:eastAsiaTheme="minorEastAsia"/>
                <w:color w:val="000000" w:themeColor="text1"/>
                <w:kern w:val="0"/>
                <w:sz w:val="20"/>
              </w:rPr>
            </w:pPr>
            <w:r>
              <w:rPr>
                <w:rFonts w:hint="eastAsia" w:asciiTheme="minorEastAsia" w:hAnsiTheme="minorEastAsia" w:eastAsiaTheme="minorEastAsia"/>
                <w:color w:val="000000" w:themeColor="text1"/>
                <w:kern w:val="0"/>
                <w:sz w:val="20"/>
              </w:rPr>
              <w:t>≥</w:t>
            </w:r>
            <w:r>
              <w:rPr>
                <w:rFonts w:asciiTheme="minorEastAsia" w:hAnsiTheme="minorEastAsia" w:eastAsiaTheme="minorEastAsia"/>
                <w:color w:val="000000" w:themeColor="text1"/>
                <w:kern w:val="0"/>
                <w:sz w:val="20"/>
              </w:rPr>
              <w:t>90</w:t>
            </w:r>
            <w:r>
              <w:rPr>
                <w:rFonts w:hint="eastAsia" w:asciiTheme="minorEastAsia" w:hAnsiTheme="minorEastAsia" w:eastAsiaTheme="minorEastAsia"/>
                <w:color w:val="000000" w:themeColor="text1"/>
                <w:kern w:val="0"/>
                <w:sz w:val="20"/>
              </w:rPr>
              <w:t>%</w:t>
            </w:r>
          </w:p>
        </w:tc>
        <w:tc>
          <w:tcPr>
            <w:tcW w:w="3375" w:type="dxa"/>
            <w:vAlign w:val="center"/>
          </w:tcPr>
          <w:p>
            <w:pPr>
              <w:rPr>
                <w:rFonts w:asciiTheme="minorEastAsia" w:hAnsiTheme="minorEastAsia" w:eastAsiaTheme="minorEastAsia"/>
                <w:color w:val="000000" w:themeColor="text1"/>
                <w:kern w:val="0"/>
                <w:sz w:val="20"/>
              </w:rPr>
            </w:pPr>
          </w:p>
        </w:tc>
        <w:tc>
          <w:tcPr>
            <w:tcW w:w="3375" w:type="dxa"/>
            <w:vAlign w:val="center"/>
          </w:tcPr>
          <w:p>
            <w:pPr>
              <w:rPr>
                <w:rFonts w:asciiTheme="minorEastAsia" w:hAnsiTheme="minorEastAsia" w:eastAsiaTheme="minorEastAsia"/>
                <w:color w:val="000000" w:themeColor="text1"/>
                <w:kern w:val="0"/>
                <w:sz w:val="20"/>
              </w:rPr>
            </w:pPr>
            <w:r>
              <w:rPr>
                <w:rFonts w:hint="eastAsia" w:asciiTheme="minorEastAsia" w:hAnsiTheme="minorEastAsia" w:eastAsiaTheme="minorEastAsia"/>
                <w:color w:val="000000" w:themeColor="text1"/>
                <w:kern w:val="0"/>
                <w:sz w:val="20"/>
              </w:rPr>
              <w:t>未达成目标时</w:t>
            </w:r>
            <w:r>
              <w:rPr>
                <w:rFonts w:asciiTheme="minorEastAsia" w:hAnsiTheme="minorEastAsia" w:eastAsiaTheme="minorEastAsia"/>
                <w:color w:val="000000" w:themeColor="text1"/>
                <w:kern w:val="0"/>
                <w:sz w:val="20"/>
              </w:rPr>
              <w:t>每相差</w:t>
            </w:r>
            <w:r>
              <w:rPr>
                <w:rFonts w:hint="eastAsia" w:asciiTheme="minorEastAsia" w:hAnsiTheme="minorEastAsia" w:eastAsiaTheme="minorEastAsia"/>
                <w:color w:val="000000" w:themeColor="text1"/>
                <w:kern w:val="0"/>
                <w:sz w:val="20"/>
              </w:rPr>
              <w:t>1%</w:t>
            </w:r>
            <w:r>
              <w:rPr>
                <w:rFonts w:asciiTheme="minorEastAsia" w:hAnsiTheme="minorEastAsia" w:eastAsiaTheme="minorEastAsia"/>
                <w:color w:val="000000" w:themeColor="text1"/>
                <w:kern w:val="0"/>
                <w:sz w:val="20"/>
              </w:rPr>
              <w:t>考核未达标违约金10</w:t>
            </w:r>
            <w:r>
              <w:rPr>
                <w:rFonts w:hint="eastAsia" w:asciiTheme="minorEastAsia" w:hAnsiTheme="minorEastAsia" w:eastAsiaTheme="minorEastAsia"/>
                <w:color w:val="000000" w:themeColor="text1"/>
                <w:kern w:val="0"/>
                <w:sz w:val="20"/>
              </w:rPr>
              <w:t>00元</w:t>
            </w:r>
          </w:p>
        </w:tc>
      </w:tr>
    </w:tbl>
    <w:p>
      <w:pPr>
        <w:spacing w:line="276" w:lineRule="auto"/>
        <w:ind w:firstLine="420"/>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贵司若对以上质量目标存有疑义，请于收件后3日内提出书面反馈意见；若无意见则请贵司盖章确认后回传给我司。既未提出书面反馈意见，又未盖章确认的，则视为默认接受该品质控制目标。</w:t>
      </w:r>
    </w:p>
    <w:p>
      <w:pPr>
        <w:spacing w:line="276" w:lineRule="auto"/>
        <w:ind w:firstLine="420"/>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注：未达成以上质量目标值，均须分析原因，并以书面形式进行汇报。</w:t>
      </w:r>
    </w:p>
    <w:tbl>
      <w:tblPr>
        <w:tblStyle w:val="11"/>
        <w:tblW w:w="98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1" w:hRule="atLeast"/>
        </w:trPr>
        <w:tc>
          <w:tcPr>
            <w:tcW w:w="9819" w:type="dxa"/>
          </w:tcPr>
          <w:p>
            <w:pPr>
              <w:ind w:firstLine="422"/>
              <w:rPr>
                <w:rFonts w:asciiTheme="minorEastAsia" w:hAnsiTheme="minorEastAsia" w:eastAsiaTheme="minorEastAsia"/>
                <w:b/>
                <w:color w:val="000000" w:themeColor="text1"/>
                <w:kern w:val="0"/>
                <w:sz w:val="20"/>
              </w:rPr>
            </w:pPr>
            <w:r>
              <w:rPr>
                <w:rFonts w:hint="eastAsia" w:asciiTheme="minorEastAsia" w:hAnsiTheme="minorEastAsia" w:eastAsiaTheme="minorEastAsia"/>
                <w:b/>
                <w:color w:val="000000" w:themeColor="text1"/>
                <w:kern w:val="0"/>
                <w:sz w:val="20"/>
              </w:rPr>
              <w:t>供应商意见：</w:t>
            </w:r>
          </w:p>
          <w:p>
            <w:pPr>
              <w:ind w:firstLine="422"/>
              <w:rPr>
                <w:rFonts w:asciiTheme="minorEastAsia" w:hAnsiTheme="minorEastAsia" w:eastAsiaTheme="minorEastAsia"/>
                <w:b/>
                <w:color w:val="000000" w:themeColor="text1"/>
                <w:kern w:val="0"/>
                <w:sz w:val="20"/>
              </w:rPr>
            </w:pPr>
            <w:r>
              <w:rPr>
                <w:rFonts w:hint="eastAsia" w:asciiTheme="minorEastAsia" w:hAnsiTheme="minorEastAsia" w:eastAsiaTheme="minorEastAsia"/>
                <w:b/>
                <w:color w:val="000000" w:themeColor="text1"/>
                <w:kern w:val="0"/>
                <w:sz w:val="20"/>
              </w:rPr>
              <w:t>对以上内容无异议</w:t>
            </w:r>
          </w:p>
          <w:p>
            <w:pPr>
              <w:wordWrap w:val="0"/>
              <w:ind w:firstLine="422"/>
              <w:jc w:val="right"/>
              <w:rPr>
                <w:rFonts w:asciiTheme="minorEastAsia" w:hAnsiTheme="minorEastAsia" w:eastAsiaTheme="minorEastAsia"/>
                <w:b/>
                <w:color w:val="FF0000"/>
                <w:kern w:val="0"/>
                <w:sz w:val="20"/>
              </w:rPr>
            </w:pPr>
            <w:r>
              <w:rPr>
                <w:rFonts w:hint="eastAsia" w:asciiTheme="minorEastAsia" w:hAnsiTheme="minorEastAsia" w:eastAsiaTheme="minorEastAsia"/>
                <w:b/>
                <w:color w:val="000000" w:themeColor="text1"/>
                <w:kern w:val="0"/>
                <w:sz w:val="20"/>
              </w:rPr>
              <w:t xml:space="preserve">              </w:t>
            </w:r>
            <w:r>
              <w:rPr>
                <w:rFonts w:hint="eastAsia" w:asciiTheme="minorEastAsia" w:hAnsiTheme="minorEastAsia" w:eastAsiaTheme="minorEastAsia"/>
                <w:b/>
                <w:color w:val="FF0000"/>
                <w:kern w:val="0"/>
                <w:sz w:val="20"/>
              </w:rPr>
              <w:t xml:space="preserve">盖章 </w:t>
            </w:r>
            <w:r>
              <w:rPr>
                <w:rFonts w:asciiTheme="minorEastAsia" w:hAnsiTheme="minorEastAsia" w:eastAsiaTheme="minorEastAsia"/>
                <w:b/>
                <w:color w:val="FF0000"/>
                <w:kern w:val="0"/>
                <w:sz w:val="20"/>
              </w:rPr>
              <w:t xml:space="preserve">                 </w:t>
            </w:r>
          </w:p>
          <w:p>
            <w:pPr>
              <w:ind w:right="897" w:rightChars="427" w:firstLine="422"/>
              <w:jc w:val="right"/>
              <w:rPr>
                <w:rFonts w:asciiTheme="minorEastAsia" w:hAnsiTheme="minorEastAsia" w:eastAsiaTheme="minorEastAsia"/>
                <w:b/>
                <w:color w:val="000000" w:themeColor="text1"/>
                <w:kern w:val="0"/>
                <w:sz w:val="20"/>
              </w:rPr>
            </w:pPr>
            <w:r>
              <w:rPr>
                <w:rFonts w:hint="eastAsia" w:asciiTheme="minorEastAsia" w:hAnsiTheme="minorEastAsia" w:eastAsiaTheme="minorEastAsia"/>
                <w:b/>
                <w:color w:val="FF0000"/>
                <w:kern w:val="0"/>
                <w:sz w:val="20"/>
              </w:rPr>
              <w:t xml:space="preserve">  </w:t>
            </w:r>
            <w:r>
              <w:rPr>
                <w:rFonts w:hint="eastAsia" w:asciiTheme="minorEastAsia" w:hAnsiTheme="minorEastAsia" w:eastAsiaTheme="minorEastAsia"/>
                <w:b/>
                <w:color w:val="000000" w:themeColor="text1"/>
                <w:kern w:val="0"/>
                <w:sz w:val="20"/>
              </w:rPr>
              <w:t xml:space="preserve">  日期：2019年12月31日  </w:t>
            </w:r>
            <w:r>
              <w:rPr>
                <w:rFonts w:asciiTheme="minorEastAsia" w:hAnsiTheme="minorEastAsia" w:eastAsiaTheme="minorEastAsia"/>
                <w:b/>
                <w:color w:val="000000" w:themeColor="text1"/>
                <w:kern w:val="0"/>
                <w:sz w:val="20"/>
              </w:rPr>
              <w:t xml:space="preserve"> </w:t>
            </w:r>
            <w:r>
              <w:rPr>
                <w:rFonts w:hint="eastAsia" w:asciiTheme="minorEastAsia" w:hAnsiTheme="minorEastAsia" w:eastAsiaTheme="minorEastAsia"/>
                <w:b/>
                <w:color w:val="000000" w:themeColor="text1"/>
                <w:kern w:val="0"/>
                <w:sz w:val="20"/>
              </w:rPr>
              <w:t xml:space="preserve"> </w:t>
            </w:r>
            <w:r>
              <w:rPr>
                <w:rFonts w:asciiTheme="minorEastAsia" w:hAnsiTheme="minorEastAsia" w:eastAsiaTheme="minorEastAsia"/>
                <w:b/>
                <w:color w:val="000000" w:themeColor="text1"/>
                <w:kern w:val="0"/>
                <w:sz w:val="20"/>
              </w:rPr>
              <w:t xml:space="preserve"> </w:t>
            </w:r>
            <w:r>
              <w:rPr>
                <w:rFonts w:hint="eastAsia" w:asciiTheme="minorEastAsia" w:hAnsiTheme="minorEastAsia" w:eastAsiaTheme="minorEastAsia"/>
                <w:b/>
                <w:color w:val="000000" w:themeColor="text1"/>
                <w:kern w:val="0"/>
                <w:sz w:val="20"/>
              </w:rPr>
              <w:t xml:space="preserve">         </w:t>
            </w:r>
          </w:p>
        </w:tc>
      </w:tr>
    </w:tbl>
    <w:p>
      <w:pPr>
        <w:pStyle w:val="2"/>
        <w:spacing w:after="0" w:afterAutospacing="0"/>
        <w:rPr>
          <w:color w:val="000000" w:themeColor="text1"/>
          <w:sz w:val="24"/>
        </w:rPr>
      </w:pPr>
      <w:bookmarkStart w:id="16" w:name="_Toc501107804"/>
    </w:p>
    <w:p>
      <w:pPr>
        <w:pStyle w:val="2"/>
        <w:spacing w:after="0" w:afterAutospacing="0"/>
        <w:rPr>
          <w:color w:val="000000" w:themeColor="text1"/>
          <w:sz w:val="24"/>
        </w:rPr>
      </w:pPr>
    </w:p>
    <w:p>
      <w:pPr>
        <w:pStyle w:val="2"/>
        <w:spacing w:after="0" w:afterAutospacing="0"/>
        <w:rPr>
          <w:color w:val="000000" w:themeColor="text1"/>
          <w:sz w:val="24"/>
        </w:rPr>
      </w:pPr>
    </w:p>
    <w:p>
      <w:pPr>
        <w:pStyle w:val="2"/>
        <w:spacing w:after="0" w:afterAutospacing="0"/>
        <w:rPr>
          <w:color w:val="000000" w:themeColor="text1"/>
          <w:sz w:val="24"/>
        </w:rPr>
      </w:pPr>
    </w:p>
    <w:p>
      <w:pPr>
        <w:pStyle w:val="2"/>
        <w:spacing w:after="0" w:afterAutospacing="0"/>
        <w:rPr>
          <w:color w:val="000000" w:themeColor="text1"/>
          <w:sz w:val="24"/>
        </w:rPr>
      </w:pPr>
      <w:r>
        <w:rPr>
          <w:rFonts w:hint="eastAsia"/>
          <w:color w:val="000000" w:themeColor="text1"/>
          <w:sz w:val="24"/>
        </w:rPr>
        <w:t>质量联系人及签署</w:t>
      </w:r>
      <w:bookmarkEnd w:id="16"/>
    </w:p>
    <w:p>
      <w:pPr>
        <w:ind w:firstLine="420"/>
        <w:rPr>
          <w:color w:val="000000" w:themeColor="text1"/>
        </w:rPr>
      </w:pPr>
      <w:r>
        <w:rPr>
          <w:rFonts w:hint="eastAsia"/>
          <w:color w:val="000000" w:themeColor="text1"/>
        </w:rPr>
        <w:t>供需双方应各自确定一名质量负责人，负责质量问题的协调与解决。供需双方如有人员调换，必须及时以书面形式通知需方。</w:t>
      </w:r>
    </w:p>
    <w:p>
      <w:pPr>
        <w:ind w:firstLine="420"/>
        <w:rPr>
          <w:rFonts w:ascii="宋体" w:hAnsi="宋体"/>
          <w:color w:val="000000" w:themeColor="text1"/>
        </w:rPr>
      </w:pPr>
      <w:r>
        <w:rPr>
          <w:rFonts w:hint="eastAsia" w:ascii="宋体" w:hAnsi="宋体"/>
          <w:color w:val="000000" w:themeColor="text1"/>
        </w:rPr>
        <w:t>双方指定的质量联系人</w:t>
      </w:r>
    </w:p>
    <w:tbl>
      <w:tblPr>
        <w:tblStyle w:val="11"/>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1"/>
        <w:gridCol w:w="2988"/>
        <w:gridCol w:w="1938"/>
        <w:gridCol w:w="2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921" w:type="dxa"/>
            <w:vAlign w:val="center"/>
          </w:tcPr>
          <w:p>
            <w:pPr>
              <w:rPr>
                <w:rFonts w:asciiTheme="minorEastAsia" w:hAnsiTheme="minorEastAsia" w:eastAsiaTheme="minorEastAsia"/>
                <w:color w:val="000000" w:themeColor="text1"/>
                <w:kern w:val="0"/>
                <w:sz w:val="20"/>
                <w:szCs w:val="21"/>
              </w:rPr>
            </w:pPr>
            <w:r>
              <w:rPr>
                <w:rFonts w:hint="eastAsia" w:asciiTheme="minorEastAsia" w:hAnsiTheme="minorEastAsia" w:eastAsiaTheme="minorEastAsia"/>
                <w:color w:val="000000" w:themeColor="text1"/>
                <w:kern w:val="0"/>
                <w:sz w:val="20"/>
                <w:szCs w:val="21"/>
              </w:rPr>
              <w:t>需方质量联系人</w:t>
            </w:r>
          </w:p>
        </w:tc>
        <w:tc>
          <w:tcPr>
            <w:tcW w:w="2988" w:type="dxa"/>
            <w:vAlign w:val="center"/>
          </w:tcPr>
          <w:p>
            <w:pPr>
              <w:rPr>
                <w:rFonts w:asciiTheme="minorEastAsia" w:hAnsiTheme="minorEastAsia" w:eastAsiaTheme="minorEastAsia"/>
                <w:color w:val="000000" w:themeColor="text1"/>
                <w:kern w:val="0"/>
                <w:sz w:val="20"/>
                <w:szCs w:val="21"/>
              </w:rPr>
            </w:pPr>
          </w:p>
        </w:tc>
        <w:tc>
          <w:tcPr>
            <w:tcW w:w="1938" w:type="dxa"/>
            <w:vAlign w:val="center"/>
          </w:tcPr>
          <w:p>
            <w:pPr>
              <w:rPr>
                <w:rFonts w:asciiTheme="minorEastAsia" w:hAnsiTheme="minorEastAsia" w:eastAsiaTheme="minorEastAsia"/>
                <w:color w:val="000000" w:themeColor="text1"/>
                <w:kern w:val="0"/>
                <w:sz w:val="20"/>
                <w:szCs w:val="21"/>
              </w:rPr>
            </w:pPr>
            <w:r>
              <w:rPr>
                <w:rFonts w:hint="eastAsia" w:asciiTheme="minorEastAsia" w:hAnsiTheme="minorEastAsia" w:eastAsiaTheme="minorEastAsia"/>
                <w:color w:val="000000" w:themeColor="text1"/>
                <w:kern w:val="0"/>
                <w:sz w:val="20"/>
                <w:szCs w:val="21"/>
              </w:rPr>
              <w:t>供方质量联系人</w:t>
            </w:r>
          </w:p>
        </w:tc>
        <w:tc>
          <w:tcPr>
            <w:tcW w:w="2924" w:type="dxa"/>
            <w:vAlign w:val="center"/>
          </w:tcPr>
          <w:p>
            <w:pPr>
              <w:ind w:firstLine="420"/>
              <w:rPr>
                <w:rFonts w:asciiTheme="minorEastAsia" w:hAnsiTheme="minorEastAsia" w:eastAsiaTheme="minorEastAsia"/>
                <w:color w:val="000000" w:themeColor="text1"/>
                <w:kern w:val="0"/>
                <w:sz w:val="20"/>
                <w:szCs w:val="21"/>
              </w:rPr>
            </w:pPr>
            <w:r>
              <w:rPr>
                <w:rFonts w:hint="eastAsia" w:eastAsiaTheme="minorEastAsia"/>
                <w:color w:val="FF0000"/>
                <w:sz w:val="24"/>
                <w:u w:val="single"/>
              </w:rPr>
              <w:t>张海亮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921" w:type="dxa"/>
            <w:vAlign w:val="center"/>
          </w:tcPr>
          <w:p>
            <w:pPr>
              <w:rPr>
                <w:rFonts w:asciiTheme="minorEastAsia" w:hAnsiTheme="minorEastAsia" w:eastAsiaTheme="minorEastAsia"/>
                <w:color w:val="000000" w:themeColor="text1"/>
                <w:kern w:val="0"/>
                <w:sz w:val="20"/>
                <w:szCs w:val="21"/>
              </w:rPr>
            </w:pPr>
            <w:r>
              <w:rPr>
                <w:rFonts w:hint="eastAsia" w:asciiTheme="minorEastAsia" w:hAnsiTheme="minorEastAsia" w:eastAsiaTheme="minorEastAsia"/>
                <w:color w:val="000000" w:themeColor="text1"/>
                <w:kern w:val="0"/>
                <w:sz w:val="20"/>
                <w:szCs w:val="21"/>
              </w:rPr>
              <w:t>联系电话</w:t>
            </w:r>
          </w:p>
        </w:tc>
        <w:tc>
          <w:tcPr>
            <w:tcW w:w="2988" w:type="dxa"/>
            <w:vAlign w:val="center"/>
          </w:tcPr>
          <w:p>
            <w:pPr>
              <w:rPr>
                <w:rFonts w:asciiTheme="minorEastAsia" w:hAnsiTheme="minorEastAsia" w:eastAsiaTheme="minorEastAsia"/>
                <w:color w:val="000000" w:themeColor="text1"/>
                <w:kern w:val="0"/>
                <w:sz w:val="20"/>
                <w:szCs w:val="21"/>
              </w:rPr>
            </w:pPr>
          </w:p>
        </w:tc>
        <w:tc>
          <w:tcPr>
            <w:tcW w:w="1938" w:type="dxa"/>
            <w:vAlign w:val="center"/>
          </w:tcPr>
          <w:p>
            <w:pPr>
              <w:rPr>
                <w:rFonts w:asciiTheme="minorEastAsia" w:hAnsiTheme="minorEastAsia" w:eastAsiaTheme="minorEastAsia"/>
                <w:color w:val="000000" w:themeColor="text1"/>
                <w:kern w:val="0"/>
                <w:sz w:val="20"/>
                <w:szCs w:val="21"/>
              </w:rPr>
            </w:pPr>
            <w:r>
              <w:rPr>
                <w:rFonts w:hint="eastAsia" w:asciiTheme="minorEastAsia" w:hAnsiTheme="minorEastAsia" w:eastAsiaTheme="minorEastAsia"/>
                <w:color w:val="000000" w:themeColor="text1"/>
                <w:kern w:val="0"/>
                <w:sz w:val="20"/>
                <w:szCs w:val="21"/>
              </w:rPr>
              <w:t>联系电话</w:t>
            </w:r>
          </w:p>
        </w:tc>
        <w:tc>
          <w:tcPr>
            <w:tcW w:w="2924" w:type="dxa"/>
            <w:vAlign w:val="center"/>
          </w:tcPr>
          <w:p>
            <w:pPr>
              <w:ind w:firstLine="420"/>
              <w:rPr>
                <w:rFonts w:asciiTheme="minorEastAsia" w:hAnsiTheme="minorEastAsia" w:eastAsiaTheme="minorEastAsia"/>
                <w:color w:val="000000" w:themeColor="text1"/>
                <w:kern w:val="0"/>
                <w:sz w:val="20"/>
                <w:szCs w:val="21"/>
              </w:rPr>
            </w:pPr>
            <w:r>
              <w:rPr>
                <w:rFonts w:hint="eastAsia" w:eastAsiaTheme="minorEastAsia"/>
                <w:color w:val="FF0000"/>
                <w:sz w:val="24"/>
                <w:u w:val="single"/>
              </w:rPr>
              <w:t>18601235503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921" w:type="dxa"/>
            <w:vAlign w:val="center"/>
          </w:tcPr>
          <w:p>
            <w:pPr>
              <w:rPr>
                <w:rFonts w:asciiTheme="minorEastAsia" w:hAnsiTheme="minorEastAsia" w:eastAsiaTheme="minorEastAsia"/>
                <w:color w:val="000000" w:themeColor="text1"/>
                <w:kern w:val="0"/>
                <w:sz w:val="20"/>
                <w:szCs w:val="21"/>
              </w:rPr>
            </w:pPr>
            <w:r>
              <w:rPr>
                <w:rFonts w:hint="eastAsia" w:asciiTheme="minorEastAsia" w:hAnsiTheme="minorEastAsia" w:eastAsiaTheme="minorEastAsia"/>
                <w:color w:val="000000" w:themeColor="text1"/>
                <w:kern w:val="0"/>
                <w:sz w:val="20"/>
                <w:szCs w:val="21"/>
              </w:rPr>
              <w:t>传真</w:t>
            </w:r>
          </w:p>
        </w:tc>
        <w:tc>
          <w:tcPr>
            <w:tcW w:w="2988" w:type="dxa"/>
            <w:vAlign w:val="center"/>
          </w:tcPr>
          <w:p>
            <w:pPr>
              <w:rPr>
                <w:rFonts w:asciiTheme="minorEastAsia" w:hAnsiTheme="minorEastAsia" w:eastAsiaTheme="minorEastAsia"/>
                <w:color w:val="000000" w:themeColor="text1"/>
                <w:kern w:val="0"/>
                <w:sz w:val="20"/>
                <w:szCs w:val="21"/>
              </w:rPr>
            </w:pPr>
          </w:p>
        </w:tc>
        <w:tc>
          <w:tcPr>
            <w:tcW w:w="1938" w:type="dxa"/>
            <w:vAlign w:val="center"/>
          </w:tcPr>
          <w:p>
            <w:pPr>
              <w:rPr>
                <w:rFonts w:asciiTheme="minorEastAsia" w:hAnsiTheme="minorEastAsia" w:eastAsiaTheme="minorEastAsia"/>
                <w:color w:val="000000" w:themeColor="text1"/>
                <w:kern w:val="0"/>
                <w:sz w:val="20"/>
                <w:szCs w:val="21"/>
              </w:rPr>
            </w:pPr>
            <w:r>
              <w:rPr>
                <w:rFonts w:hint="eastAsia" w:asciiTheme="minorEastAsia" w:hAnsiTheme="minorEastAsia" w:eastAsiaTheme="minorEastAsia"/>
                <w:color w:val="000000" w:themeColor="text1"/>
                <w:kern w:val="0"/>
                <w:sz w:val="20"/>
                <w:szCs w:val="21"/>
              </w:rPr>
              <w:t>传真</w:t>
            </w:r>
          </w:p>
        </w:tc>
        <w:tc>
          <w:tcPr>
            <w:tcW w:w="2924" w:type="dxa"/>
            <w:vAlign w:val="center"/>
          </w:tcPr>
          <w:p>
            <w:pPr>
              <w:ind w:firstLine="420"/>
              <w:rPr>
                <w:rFonts w:asciiTheme="minorEastAsia" w:hAnsiTheme="minorEastAsia" w:eastAsiaTheme="minorEastAsia"/>
                <w:color w:val="000000" w:themeColor="text1"/>
                <w:kern w:val="0"/>
                <w:sz w:val="20"/>
                <w:szCs w:val="21"/>
              </w:rPr>
            </w:pPr>
            <w:r>
              <w:rPr>
                <w:rFonts w:hint="eastAsia" w:eastAsiaTheme="minorEastAsia"/>
                <w:color w:val="FF0000"/>
                <w:sz w:val="24"/>
                <w:u w:val="single"/>
              </w:rPr>
              <w:t>0317-5965339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921" w:type="dxa"/>
            <w:vAlign w:val="center"/>
          </w:tcPr>
          <w:p>
            <w:pPr>
              <w:rPr>
                <w:rFonts w:asciiTheme="minorEastAsia" w:hAnsiTheme="minorEastAsia" w:eastAsiaTheme="minorEastAsia"/>
                <w:color w:val="000000" w:themeColor="text1"/>
                <w:kern w:val="0"/>
                <w:sz w:val="20"/>
                <w:szCs w:val="21"/>
              </w:rPr>
            </w:pPr>
            <w:r>
              <w:rPr>
                <w:rFonts w:hint="eastAsia" w:asciiTheme="minorEastAsia" w:hAnsiTheme="minorEastAsia" w:eastAsiaTheme="minorEastAsia"/>
                <w:color w:val="000000" w:themeColor="text1"/>
                <w:kern w:val="0"/>
                <w:sz w:val="20"/>
                <w:szCs w:val="21"/>
              </w:rPr>
              <w:t>联系地址</w:t>
            </w:r>
          </w:p>
        </w:tc>
        <w:tc>
          <w:tcPr>
            <w:tcW w:w="2988" w:type="dxa"/>
            <w:vAlign w:val="center"/>
          </w:tcPr>
          <w:p>
            <w:pPr>
              <w:rPr>
                <w:rFonts w:asciiTheme="minorEastAsia" w:hAnsiTheme="minorEastAsia" w:eastAsiaTheme="minorEastAsia"/>
                <w:color w:val="000000" w:themeColor="text1"/>
                <w:kern w:val="0"/>
                <w:sz w:val="20"/>
                <w:szCs w:val="21"/>
              </w:rPr>
            </w:pPr>
          </w:p>
        </w:tc>
        <w:tc>
          <w:tcPr>
            <w:tcW w:w="1938" w:type="dxa"/>
            <w:vAlign w:val="center"/>
          </w:tcPr>
          <w:p>
            <w:pPr>
              <w:rPr>
                <w:rFonts w:asciiTheme="minorEastAsia" w:hAnsiTheme="minorEastAsia" w:eastAsiaTheme="minorEastAsia"/>
                <w:color w:val="000000" w:themeColor="text1"/>
                <w:kern w:val="0"/>
                <w:sz w:val="20"/>
                <w:szCs w:val="21"/>
              </w:rPr>
            </w:pPr>
            <w:r>
              <w:rPr>
                <w:rFonts w:hint="eastAsia" w:asciiTheme="minorEastAsia" w:hAnsiTheme="minorEastAsia" w:eastAsiaTheme="minorEastAsia"/>
                <w:color w:val="000000" w:themeColor="text1"/>
                <w:kern w:val="0"/>
                <w:sz w:val="20"/>
                <w:szCs w:val="21"/>
              </w:rPr>
              <w:t>联系地址</w:t>
            </w:r>
          </w:p>
        </w:tc>
        <w:tc>
          <w:tcPr>
            <w:tcW w:w="2924" w:type="dxa"/>
            <w:vAlign w:val="center"/>
          </w:tcPr>
          <w:p>
            <w:pPr>
              <w:rPr>
                <w:rFonts w:asciiTheme="minorEastAsia" w:hAnsiTheme="minorEastAsia" w:eastAsiaTheme="minorEastAsia"/>
                <w:color w:val="000000" w:themeColor="text1"/>
                <w:kern w:val="0"/>
                <w:sz w:val="20"/>
                <w:szCs w:val="21"/>
              </w:rPr>
            </w:pPr>
            <w:r>
              <w:rPr>
                <w:rFonts w:hint="eastAsia" w:eastAsiaTheme="minorEastAsia"/>
                <w:color w:val="FF0000"/>
                <w:sz w:val="24"/>
                <w:u w:val="single"/>
              </w:rPr>
              <w:t>河北省黄骅市经济开发区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1921" w:type="dxa"/>
            <w:vAlign w:val="center"/>
          </w:tcPr>
          <w:p>
            <w:pPr>
              <w:rPr>
                <w:rFonts w:asciiTheme="minorEastAsia" w:hAnsiTheme="minorEastAsia" w:eastAsiaTheme="minorEastAsia"/>
                <w:color w:val="000000" w:themeColor="text1"/>
                <w:kern w:val="0"/>
                <w:sz w:val="20"/>
                <w:szCs w:val="21"/>
              </w:rPr>
            </w:pPr>
            <w:r>
              <w:rPr>
                <w:rFonts w:hint="eastAsia" w:asciiTheme="minorEastAsia" w:hAnsiTheme="minorEastAsia" w:eastAsiaTheme="minorEastAsia"/>
                <w:color w:val="000000" w:themeColor="text1"/>
                <w:kern w:val="0"/>
                <w:sz w:val="20"/>
                <w:szCs w:val="21"/>
              </w:rPr>
              <w:t>电子邮箱</w:t>
            </w:r>
          </w:p>
        </w:tc>
        <w:tc>
          <w:tcPr>
            <w:tcW w:w="2988" w:type="dxa"/>
            <w:vAlign w:val="center"/>
          </w:tcPr>
          <w:p>
            <w:pPr>
              <w:rPr>
                <w:rFonts w:asciiTheme="minorEastAsia" w:hAnsiTheme="minorEastAsia" w:eastAsiaTheme="minorEastAsia"/>
                <w:color w:val="000000" w:themeColor="text1"/>
                <w:kern w:val="0"/>
                <w:sz w:val="20"/>
                <w:szCs w:val="21"/>
              </w:rPr>
            </w:pPr>
          </w:p>
        </w:tc>
        <w:tc>
          <w:tcPr>
            <w:tcW w:w="1938" w:type="dxa"/>
            <w:vAlign w:val="center"/>
          </w:tcPr>
          <w:p>
            <w:pPr>
              <w:rPr>
                <w:rFonts w:asciiTheme="minorEastAsia" w:hAnsiTheme="minorEastAsia" w:eastAsiaTheme="minorEastAsia"/>
                <w:color w:val="000000" w:themeColor="text1"/>
                <w:kern w:val="0"/>
                <w:sz w:val="20"/>
                <w:szCs w:val="21"/>
              </w:rPr>
            </w:pPr>
            <w:r>
              <w:rPr>
                <w:rFonts w:hint="eastAsia" w:asciiTheme="minorEastAsia" w:hAnsiTheme="minorEastAsia" w:eastAsiaTheme="minorEastAsia"/>
                <w:color w:val="000000" w:themeColor="text1"/>
                <w:kern w:val="0"/>
                <w:sz w:val="20"/>
                <w:szCs w:val="21"/>
              </w:rPr>
              <w:t>电子邮箱</w:t>
            </w:r>
          </w:p>
        </w:tc>
        <w:tc>
          <w:tcPr>
            <w:tcW w:w="2924" w:type="dxa"/>
            <w:vAlign w:val="center"/>
          </w:tcPr>
          <w:p>
            <w:pPr>
              <w:rPr>
                <w:rFonts w:asciiTheme="minorEastAsia" w:hAnsiTheme="minorEastAsia" w:eastAsiaTheme="minorEastAsia"/>
                <w:color w:val="000000" w:themeColor="text1"/>
                <w:kern w:val="0"/>
                <w:sz w:val="20"/>
                <w:szCs w:val="21"/>
              </w:rPr>
            </w:pPr>
            <w:r>
              <w:rPr>
                <w:rFonts w:hint="eastAsia" w:eastAsiaTheme="minorEastAsia"/>
                <w:color w:val="FF0000"/>
                <w:sz w:val="24"/>
                <w:u w:val="single"/>
              </w:rPr>
              <w:t>zhanghailiang@bjghrc.com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921" w:type="dxa"/>
            <w:vAlign w:val="center"/>
          </w:tcPr>
          <w:p>
            <w:pPr>
              <w:rPr>
                <w:rFonts w:asciiTheme="minorEastAsia" w:hAnsiTheme="minorEastAsia" w:eastAsiaTheme="minorEastAsia"/>
                <w:color w:val="000000" w:themeColor="text1"/>
                <w:kern w:val="0"/>
                <w:sz w:val="20"/>
                <w:szCs w:val="21"/>
              </w:rPr>
            </w:pPr>
            <w:r>
              <w:rPr>
                <w:rFonts w:hint="eastAsia" w:asciiTheme="minorEastAsia" w:hAnsiTheme="minorEastAsia" w:eastAsiaTheme="minorEastAsia"/>
                <w:color w:val="000000" w:themeColor="text1"/>
                <w:kern w:val="0"/>
                <w:sz w:val="20"/>
                <w:szCs w:val="21"/>
              </w:rPr>
              <w:t>邮编</w:t>
            </w:r>
          </w:p>
        </w:tc>
        <w:tc>
          <w:tcPr>
            <w:tcW w:w="2988" w:type="dxa"/>
            <w:vAlign w:val="center"/>
          </w:tcPr>
          <w:p>
            <w:pPr>
              <w:jc w:val="left"/>
              <w:rPr>
                <w:rFonts w:asciiTheme="minorEastAsia" w:hAnsiTheme="minorEastAsia" w:eastAsiaTheme="minorEastAsia"/>
                <w:color w:val="000000" w:themeColor="text1"/>
                <w:kern w:val="0"/>
                <w:sz w:val="20"/>
                <w:szCs w:val="21"/>
              </w:rPr>
            </w:pPr>
          </w:p>
        </w:tc>
        <w:tc>
          <w:tcPr>
            <w:tcW w:w="1938" w:type="dxa"/>
            <w:vAlign w:val="center"/>
          </w:tcPr>
          <w:p>
            <w:pPr>
              <w:rPr>
                <w:rFonts w:asciiTheme="minorEastAsia" w:hAnsiTheme="minorEastAsia" w:eastAsiaTheme="minorEastAsia"/>
                <w:color w:val="000000" w:themeColor="text1"/>
                <w:kern w:val="0"/>
                <w:sz w:val="20"/>
                <w:szCs w:val="21"/>
              </w:rPr>
            </w:pPr>
            <w:r>
              <w:rPr>
                <w:rFonts w:hint="eastAsia" w:asciiTheme="minorEastAsia" w:hAnsiTheme="minorEastAsia" w:eastAsiaTheme="minorEastAsia"/>
                <w:color w:val="000000" w:themeColor="text1"/>
                <w:kern w:val="0"/>
                <w:sz w:val="20"/>
                <w:szCs w:val="21"/>
              </w:rPr>
              <w:t>邮编</w:t>
            </w:r>
          </w:p>
        </w:tc>
        <w:tc>
          <w:tcPr>
            <w:tcW w:w="2924" w:type="dxa"/>
            <w:vAlign w:val="center"/>
          </w:tcPr>
          <w:p>
            <w:pPr>
              <w:ind w:firstLine="420"/>
              <w:rPr>
                <w:rFonts w:asciiTheme="minorEastAsia" w:hAnsiTheme="minorEastAsia" w:eastAsiaTheme="minorEastAsia"/>
                <w:color w:val="000000" w:themeColor="text1"/>
                <w:kern w:val="0"/>
                <w:sz w:val="20"/>
                <w:szCs w:val="21"/>
              </w:rPr>
            </w:pPr>
            <w:r>
              <w:rPr>
                <w:rFonts w:hint="eastAsia" w:eastAsiaTheme="minorEastAsia"/>
                <w:color w:val="FF0000"/>
                <w:sz w:val="24"/>
                <w:u w:val="single"/>
              </w:rPr>
              <w:t>061100</w:t>
            </w:r>
          </w:p>
        </w:tc>
      </w:tr>
    </w:tbl>
    <w:p>
      <w:pPr>
        <w:rPr>
          <w:rFonts w:ascii="宋体" w:hAnsi="宋体"/>
          <w:b/>
          <w:bCs/>
          <w:color w:val="000000" w:themeColor="text1"/>
          <w:kern w:val="0"/>
          <w:szCs w:val="21"/>
        </w:rPr>
      </w:pPr>
    </w:p>
    <w:p>
      <w:pPr>
        <w:ind w:firstLine="480"/>
        <w:rPr>
          <w:color w:val="000000" w:themeColor="text1"/>
        </w:rPr>
      </w:pPr>
    </w:p>
    <w:p>
      <w:pPr>
        <w:spacing w:line="480" w:lineRule="auto"/>
        <w:ind w:left="6779" w:leftChars="58" w:hanging="6657" w:hangingChars="3170"/>
        <w:rPr>
          <w:color w:val="000000" w:themeColor="text1"/>
          <w:sz w:val="24"/>
        </w:rPr>
      </w:pPr>
      <w:r>
        <w:rPr>
          <w:rFonts w:hint="eastAsia"/>
          <w:color w:val="000000" w:themeColor="text1"/>
        </w:rPr>
        <w:t>需方（盖章）：                                  供方（盖章）：</w:t>
      </w:r>
      <w:r>
        <w:rPr>
          <w:color w:val="000000" w:themeColor="text1"/>
          <w:sz w:val="24"/>
        </w:rPr>
        <w:t xml:space="preserve"> </w:t>
      </w:r>
      <w:r>
        <w:rPr>
          <w:rFonts w:hint="eastAsia"/>
          <w:color w:val="FF0000"/>
          <w:sz w:val="24"/>
          <w:u w:val="single"/>
        </w:rPr>
        <w:t>河北光华荣汽车部件有限公司</w:t>
      </w:r>
    </w:p>
    <w:p>
      <w:pPr>
        <w:ind w:firstLine="480"/>
        <w:rPr>
          <w:color w:val="000000" w:themeColor="text1"/>
        </w:rPr>
      </w:pPr>
    </w:p>
    <w:p>
      <w:pPr>
        <w:ind w:firstLine="480"/>
        <w:rPr>
          <w:color w:val="000000" w:themeColor="text1"/>
        </w:rPr>
      </w:pPr>
      <w:r>
        <w:rPr>
          <w:rFonts w:hint="eastAsia"/>
          <w:color w:val="000000" w:themeColor="text1"/>
        </w:rPr>
        <w:t>签订时间：                                      签订时间：2019年12月31日</w:t>
      </w:r>
    </w:p>
    <w:p>
      <w:pPr>
        <w:ind w:firstLine="480"/>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bookmarkEnd w:id="15"/>
    <w:p>
      <w:pPr>
        <w:rPr>
          <w:rFonts w:ascii="宋体" w:hAnsi="宋体"/>
          <w:b/>
          <w:bCs/>
          <w:color w:val="000000" w:themeColor="text1"/>
          <w:sz w:val="32"/>
          <w:szCs w:val="32"/>
        </w:rPr>
      </w:pPr>
      <w:r>
        <w:rPr>
          <w:rFonts w:hint="eastAsia" w:ascii="宋体" w:hAnsi="宋体"/>
          <w:b/>
          <w:bCs/>
          <w:color w:val="000000" w:themeColor="text1"/>
          <w:sz w:val="32"/>
          <w:szCs w:val="32"/>
        </w:rPr>
        <w:t>附件3：售后配件供应清退与售后索赔协议</w:t>
      </w:r>
    </w:p>
    <w:p>
      <w:pPr>
        <w:spacing w:beforeLines="100" w:line="520" w:lineRule="exact"/>
        <w:ind w:left="-1"/>
        <w:rPr>
          <w:rFonts w:ascii="宋体" w:hAnsi="宋体"/>
          <w:b/>
          <w:color w:val="000000" w:themeColor="text1"/>
          <w:sz w:val="28"/>
          <w:szCs w:val="28"/>
        </w:rPr>
      </w:pPr>
      <w:r>
        <w:rPr>
          <w:rFonts w:hint="eastAsia" w:ascii="宋体" w:hAnsi="宋体"/>
          <w:b/>
          <w:color w:val="000000" w:themeColor="text1"/>
          <w:sz w:val="28"/>
          <w:szCs w:val="28"/>
        </w:rPr>
        <w:t>1．货物名称、规格、数量</w:t>
      </w:r>
    </w:p>
    <w:p>
      <w:pPr>
        <w:spacing w:line="520" w:lineRule="exact"/>
        <w:rPr>
          <w:rFonts w:ascii="宋体" w:hAnsi="宋体"/>
          <w:color w:val="000000" w:themeColor="text1"/>
          <w:sz w:val="24"/>
        </w:rPr>
      </w:pPr>
      <w:r>
        <w:rPr>
          <w:rFonts w:hint="eastAsia" w:ascii="宋体" w:hAnsi="宋体"/>
          <w:color w:val="000000" w:themeColor="text1"/>
          <w:sz w:val="24"/>
        </w:rPr>
        <w:t>1.1具体货物名称、型号规格、供货周期详见附件3.2。</w:t>
      </w:r>
    </w:p>
    <w:p>
      <w:pPr>
        <w:spacing w:line="520" w:lineRule="exact"/>
        <w:rPr>
          <w:rFonts w:ascii="宋体" w:hAnsi="宋体"/>
          <w:color w:val="000000" w:themeColor="text1"/>
          <w:sz w:val="24"/>
        </w:rPr>
      </w:pPr>
      <w:r>
        <w:rPr>
          <w:rFonts w:hint="eastAsia" w:ascii="宋体" w:hAnsi="宋体"/>
          <w:color w:val="000000" w:themeColor="text1"/>
          <w:sz w:val="24"/>
        </w:rPr>
        <w:t>1.2具体供货数量以需方实际需求订单数量为准。</w:t>
      </w:r>
    </w:p>
    <w:p>
      <w:pPr>
        <w:spacing w:beforeLines="100" w:line="520" w:lineRule="exact"/>
        <w:rPr>
          <w:rFonts w:ascii="宋体" w:hAnsi="宋体"/>
          <w:b/>
          <w:color w:val="000000" w:themeColor="text1"/>
          <w:sz w:val="28"/>
          <w:szCs w:val="28"/>
        </w:rPr>
      </w:pPr>
      <w:r>
        <w:rPr>
          <w:rFonts w:hint="eastAsia" w:ascii="宋体" w:hAnsi="宋体"/>
          <w:b/>
          <w:color w:val="000000" w:themeColor="text1"/>
          <w:sz w:val="28"/>
          <w:szCs w:val="28"/>
        </w:rPr>
        <w:t>2．配件供应</w:t>
      </w:r>
    </w:p>
    <w:p>
      <w:pPr>
        <w:tabs>
          <w:tab w:val="left" w:pos="1080"/>
        </w:tabs>
        <w:spacing w:line="520" w:lineRule="exact"/>
        <w:rPr>
          <w:rFonts w:ascii="宋体" w:hAnsi="宋体"/>
          <w:color w:val="000000" w:themeColor="text1"/>
          <w:sz w:val="24"/>
        </w:rPr>
      </w:pPr>
      <w:r>
        <w:rPr>
          <w:rFonts w:hint="eastAsia" w:ascii="宋体" w:hAnsi="宋体"/>
          <w:color w:val="000000" w:themeColor="text1"/>
          <w:sz w:val="24"/>
        </w:rPr>
        <w:t xml:space="preserve">2.1供方必须保证有充足的生产能力，并按时保质保量供应一汽凌河汽车售后服务所需配件。  </w:t>
      </w:r>
    </w:p>
    <w:p>
      <w:pPr>
        <w:tabs>
          <w:tab w:val="left" w:pos="1080"/>
        </w:tabs>
        <w:spacing w:line="520" w:lineRule="exact"/>
        <w:ind w:left="617" w:hanging="616" w:hangingChars="257"/>
        <w:rPr>
          <w:rFonts w:ascii="宋体" w:hAnsi="宋体"/>
          <w:color w:val="000000" w:themeColor="text1"/>
          <w:sz w:val="24"/>
        </w:rPr>
      </w:pPr>
      <w:r>
        <w:rPr>
          <w:rFonts w:hint="eastAsia" w:ascii="宋体" w:hAnsi="宋体"/>
          <w:color w:val="000000" w:themeColor="text1"/>
          <w:sz w:val="24"/>
        </w:rPr>
        <w:t>2.1.1供方按需方每月提报的配件采购计划向需方按时供应配件，如不能满足需方的需求，供方应在接到需方采购计划2日内以书面形式通知需方并说明原因。</w:t>
      </w:r>
    </w:p>
    <w:p>
      <w:pPr>
        <w:tabs>
          <w:tab w:val="left" w:pos="1080"/>
        </w:tabs>
        <w:spacing w:line="520" w:lineRule="exact"/>
        <w:ind w:left="617" w:hanging="616" w:hangingChars="257"/>
        <w:rPr>
          <w:rFonts w:ascii="宋体" w:hAnsi="宋体"/>
          <w:color w:val="000000" w:themeColor="text1"/>
          <w:sz w:val="24"/>
        </w:rPr>
      </w:pPr>
      <w:r>
        <w:rPr>
          <w:rFonts w:hint="eastAsia" w:ascii="宋体" w:hAnsi="宋体"/>
          <w:color w:val="000000" w:themeColor="text1"/>
          <w:sz w:val="24"/>
        </w:rPr>
        <w:t>2.1.2供方必须承诺对生产已停供、已停产车型配件进行持续供给，供给期限为自生产停供、停产之</w:t>
      </w:r>
      <w:r>
        <w:rPr>
          <w:rFonts w:hint="eastAsia" w:ascii="宋体" w:hAnsi="宋体"/>
          <w:sz w:val="24"/>
        </w:rPr>
        <w:t>日起</w:t>
      </w:r>
      <w:r>
        <w:rPr>
          <w:rFonts w:hint="eastAsia"/>
          <w:sz w:val="24"/>
          <w:u w:val="single"/>
        </w:rPr>
        <w:t>5</w:t>
      </w:r>
      <w:r>
        <w:rPr>
          <w:rFonts w:hint="eastAsia" w:ascii="宋体" w:hAnsi="宋体"/>
          <w:sz w:val="24"/>
        </w:rPr>
        <w:t>年。发生供方停止向需方供应配件情形的，则供方应自停止供货之日起</w:t>
      </w:r>
      <w:r>
        <w:rPr>
          <w:rFonts w:hint="eastAsia"/>
          <w:sz w:val="24"/>
          <w:u w:val="single"/>
        </w:rPr>
        <w:t>5</w:t>
      </w:r>
      <w:r>
        <w:rPr>
          <w:rFonts w:hint="eastAsia" w:ascii="宋体" w:hAnsi="宋体"/>
          <w:sz w:val="24"/>
        </w:rPr>
        <w:t>年内，按最终合同所约定的价格保障需方售后服务用配件的供应，以满足需方</w:t>
      </w:r>
      <w:r>
        <w:rPr>
          <w:rFonts w:hint="eastAsia" w:ascii="宋体" w:hAnsi="宋体"/>
          <w:color w:val="000000" w:themeColor="text1"/>
          <w:sz w:val="24"/>
        </w:rPr>
        <w:t>售后服务的需要。</w:t>
      </w:r>
    </w:p>
    <w:p>
      <w:pPr>
        <w:tabs>
          <w:tab w:val="left" w:pos="1080"/>
        </w:tabs>
        <w:spacing w:line="520" w:lineRule="exact"/>
        <w:ind w:left="410" w:hanging="410" w:hangingChars="171"/>
        <w:rPr>
          <w:rFonts w:ascii="宋体" w:hAnsi="宋体"/>
          <w:color w:val="000000" w:themeColor="text1"/>
          <w:sz w:val="24"/>
        </w:rPr>
      </w:pPr>
      <w:r>
        <w:rPr>
          <w:rFonts w:hint="eastAsia" w:ascii="宋体" w:hAnsi="宋体"/>
          <w:color w:val="000000" w:themeColor="text1"/>
          <w:sz w:val="24"/>
        </w:rPr>
        <w:t>2.2供方不得以一汽凌河汽车配套件的名义直接供给第三方；任何情形下，供方不得自行向需方服务网点直接供应配件，否则需方有权要求供方承担违约责任，供方按照本次所供配件2倍的金额对需方进行赔偿；需方认为情节严重的，有权终止其配套资格。</w:t>
      </w:r>
    </w:p>
    <w:p>
      <w:pPr>
        <w:tabs>
          <w:tab w:val="left" w:pos="1080"/>
        </w:tabs>
        <w:spacing w:line="520" w:lineRule="exact"/>
        <w:ind w:left="410" w:hanging="410" w:hangingChars="171"/>
        <w:rPr>
          <w:rFonts w:ascii="宋体" w:hAnsi="宋体"/>
          <w:color w:val="000000" w:themeColor="text1"/>
          <w:sz w:val="24"/>
        </w:rPr>
      </w:pPr>
      <w:r>
        <w:rPr>
          <w:rFonts w:hint="eastAsia" w:ascii="宋体" w:hAnsi="宋体"/>
          <w:color w:val="000000" w:themeColor="text1"/>
          <w:sz w:val="24"/>
        </w:rPr>
        <w:t>2.3供方在向需方提供配件之前，应向需方提供配套件及其拆散件明细表，或者易损件明细表。包括总成件、拆散件名称、零件号、产品标识及价格。</w:t>
      </w:r>
    </w:p>
    <w:p>
      <w:pPr>
        <w:tabs>
          <w:tab w:val="left" w:pos="1080"/>
        </w:tabs>
        <w:spacing w:line="520" w:lineRule="exact"/>
        <w:ind w:left="410" w:hanging="410" w:hangingChars="171"/>
        <w:rPr>
          <w:rFonts w:ascii="宋体" w:hAnsi="宋体"/>
          <w:color w:val="000000" w:themeColor="text1"/>
          <w:sz w:val="24"/>
        </w:rPr>
      </w:pPr>
      <w:r>
        <w:rPr>
          <w:rFonts w:hint="eastAsia" w:ascii="宋体" w:hAnsi="宋体"/>
          <w:color w:val="000000" w:themeColor="text1"/>
          <w:sz w:val="24"/>
        </w:rPr>
        <w:t>2.4供方供应的配件须符合需方要求的质量标准和经过需方检验，并有合格证、保修单、保修期限、说明书等，并在配件的明显位置标注永久性标识。如没有标识在发生索赔时供方同意按需方计算标准进行结算。</w:t>
      </w:r>
    </w:p>
    <w:p>
      <w:pPr>
        <w:tabs>
          <w:tab w:val="left" w:pos="1080"/>
        </w:tabs>
        <w:spacing w:line="520" w:lineRule="exact"/>
        <w:ind w:left="408" w:leftChars="-1" w:hanging="410" w:hangingChars="171"/>
        <w:rPr>
          <w:rFonts w:ascii="宋体" w:hAnsi="宋体"/>
          <w:color w:val="000000" w:themeColor="text1"/>
          <w:sz w:val="24"/>
        </w:rPr>
      </w:pPr>
      <w:r>
        <w:rPr>
          <w:rFonts w:hint="eastAsia" w:ascii="宋体" w:hAnsi="宋体"/>
          <w:color w:val="000000" w:themeColor="text1"/>
          <w:sz w:val="24"/>
        </w:rPr>
        <w:t>2.5供方如不能按需方的要求向需方提供总成拆散件，需方在遇到用户对该件索赔时，将向用户按总成件进行赔偿，所发生的赔偿费用由需方按总成件向供方进行结算索赔。</w:t>
      </w:r>
    </w:p>
    <w:p>
      <w:pPr>
        <w:tabs>
          <w:tab w:val="left" w:pos="1080"/>
        </w:tabs>
        <w:spacing w:line="520" w:lineRule="exact"/>
        <w:ind w:left="408" w:leftChars="-1" w:hanging="410" w:hangingChars="171"/>
        <w:rPr>
          <w:rFonts w:ascii="宋体" w:hAnsi="宋体"/>
          <w:color w:val="000000" w:themeColor="text1"/>
          <w:sz w:val="24"/>
        </w:rPr>
      </w:pPr>
      <w:r>
        <w:rPr>
          <w:rFonts w:hint="eastAsia" w:ascii="宋体" w:hAnsi="宋体"/>
          <w:color w:val="000000" w:themeColor="text1"/>
          <w:sz w:val="24"/>
        </w:rPr>
        <w:t>2.6供方向需方提供的零配件“三包”期限范围，应同需方向用户提供的整车保修期“三包”规定一致。具体标准见附件3.1“保修规定”。</w:t>
      </w:r>
    </w:p>
    <w:p>
      <w:pPr>
        <w:tabs>
          <w:tab w:val="left" w:pos="1080"/>
        </w:tabs>
        <w:spacing w:line="520" w:lineRule="exact"/>
        <w:ind w:left="408" w:leftChars="-1" w:hanging="410" w:hangingChars="171"/>
        <w:rPr>
          <w:rFonts w:ascii="宋体" w:hAnsi="宋体"/>
          <w:color w:val="000000" w:themeColor="text1"/>
          <w:sz w:val="24"/>
        </w:rPr>
      </w:pPr>
      <w:r>
        <w:rPr>
          <w:rFonts w:hint="eastAsia" w:ascii="宋体" w:hAnsi="宋体"/>
          <w:color w:val="000000" w:themeColor="text1"/>
          <w:sz w:val="24"/>
        </w:rPr>
        <w:t>2.7 保修期“三包”期应同需方整车或者零售销售日期起计。</w:t>
      </w:r>
    </w:p>
    <w:p>
      <w:pPr>
        <w:spacing w:beforeLines="100" w:line="520" w:lineRule="exact"/>
        <w:rPr>
          <w:rFonts w:ascii="宋体" w:hAnsi="宋体"/>
          <w:b/>
          <w:color w:val="000000" w:themeColor="text1"/>
          <w:sz w:val="28"/>
          <w:szCs w:val="28"/>
        </w:rPr>
      </w:pPr>
      <w:r>
        <w:rPr>
          <w:rFonts w:hint="eastAsia" w:ascii="宋体" w:hAnsi="宋体"/>
          <w:b/>
          <w:color w:val="000000" w:themeColor="text1"/>
          <w:sz w:val="28"/>
          <w:szCs w:val="28"/>
        </w:rPr>
        <w:t>3．价格条款</w:t>
      </w:r>
    </w:p>
    <w:p>
      <w:pPr>
        <w:spacing w:line="520" w:lineRule="exact"/>
        <w:ind w:left="410" w:hanging="410" w:hangingChars="171"/>
        <w:rPr>
          <w:rFonts w:ascii="宋体" w:hAnsi="宋体"/>
          <w:color w:val="000000" w:themeColor="text1"/>
          <w:sz w:val="24"/>
        </w:rPr>
      </w:pPr>
      <w:r>
        <w:rPr>
          <w:rFonts w:hint="eastAsia" w:ascii="宋体" w:hAnsi="宋体"/>
          <w:color w:val="000000" w:themeColor="text1"/>
          <w:sz w:val="24"/>
        </w:rPr>
        <w:t>3.1配件供货结算价格应为含税价，供方向需方供应的配件结算价格应包含供方送货到需方指定仓库的运输、包装、装卸等费用（详见附件3.2），且供方所供应的售后配件不得高于整车配套件价格及费用。</w:t>
      </w:r>
    </w:p>
    <w:p>
      <w:pPr>
        <w:tabs>
          <w:tab w:val="left" w:pos="1080"/>
        </w:tabs>
        <w:spacing w:line="520" w:lineRule="exact"/>
        <w:ind w:left="360" w:hanging="360"/>
        <w:rPr>
          <w:rFonts w:ascii="宋体" w:hAnsi="宋体"/>
          <w:color w:val="000000" w:themeColor="text1"/>
          <w:sz w:val="24"/>
        </w:rPr>
      </w:pPr>
      <w:r>
        <w:rPr>
          <w:rFonts w:hint="eastAsia" w:ascii="宋体" w:hAnsi="宋体"/>
          <w:color w:val="000000" w:themeColor="text1"/>
          <w:sz w:val="24"/>
        </w:rPr>
        <w:t>3.2供方给予需方的配件价格不得高于其给予需方以外的其他方的销售价格，且供方批量自销价格应高于供应需方配件价</w:t>
      </w:r>
      <w:r>
        <w:rPr>
          <w:rFonts w:hint="eastAsia" w:ascii="宋体" w:hAnsi="宋体"/>
          <w:sz w:val="24"/>
        </w:rPr>
        <w:t>格的</w:t>
      </w:r>
      <w:r>
        <w:rPr>
          <w:rFonts w:hint="eastAsia" w:ascii="宋体" w:hAnsi="宋体"/>
          <w:sz w:val="24"/>
          <w:u w:val="single"/>
        </w:rPr>
        <w:t xml:space="preserve"> 20 </w:t>
      </w:r>
      <w:r>
        <w:rPr>
          <w:rFonts w:hint="eastAsia" w:ascii="宋体" w:hAnsi="宋体"/>
          <w:sz w:val="24"/>
        </w:rPr>
        <w:t>%（20%-40%）</w:t>
      </w:r>
      <w:r>
        <w:rPr>
          <w:rFonts w:hint="eastAsia" w:ascii="宋体" w:hAnsi="宋体"/>
          <w:color w:val="000000" w:themeColor="text1"/>
          <w:sz w:val="24"/>
        </w:rPr>
        <w:t>，如需方发现供方自销配件价格低于此价时，需方配件管理部门将向公司采购部门提出供方配套产品价格下调的要求。（或需方与供方结算时按供方自销价格下浮40%）</w:t>
      </w:r>
    </w:p>
    <w:p>
      <w:pPr>
        <w:tabs>
          <w:tab w:val="left" w:pos="1080"/>
        </w:tabs>
        <w:spacing w:line="520" w:lineRule="exact"/>
        <w:ind w:left="-2" w:leftChars="-1"/>
        <w:rPr>
          <w:rFonts w:ascii="宋体" w:hAnsi="宋体"/>
          <w:color w:val="000000" w:themeColor="text1"/>
          <w:sz w:val="24"/>
        </w:rPr>
      </w:pPr>
      <w:r>
        <w:rPr>
          <w:rFonts w:hint="eastAsia" w:ascii="宋体" w:hAnsi="宋体"/>
          <w:color w:val="000000" w:themeColor="text1"/>
          <w:sz w:val="24"/>
        </w:rPr>
        <w:t>3.3供方对需方供应的配套产品，价格进行调整时应同步通知到需方售后服务部门。</w:t>
      </w:r>
    </w:p>
    <w:p>
      <w:pPr>
        <w:spacing w:beforeLines="100" w:line="520" w:lineRule="exact"/>
        <w:rPr>
          <w:rFonts w:ascii="宋体" w:hAnsi="宋体"/>
          <w:b/>
          <w:color w:val="000000" w:themeColor="text1"/>
          <w:sz w:val="28"/>
          <w:szCs w:val="28"/>
        </w:rPr>
      </w:pPr>
      <w:r>
        <w:rPr>
          <w:rFonts w:hint="eastAsia" w:ascii="宋体" w:hAnsi="宋体"/>
          <w:b/>
          <w:color w:val="000000" w:themeColor="text1"/>
          <w:sz w:val="28"/>
          <w:szCs w:val="28"/>
        </w:rPr>
        <w:t>4．包装要求</w:t>
      </w:r>
    </w:p>
    <w:p>
      <w:pPr>
        <w:tabs>
          <w:tab w:val="left" w:pos="1080"/>
        </w:tabs>
        <w:spacing w:line="520" w:lineRule="exact"/>
        <w:ind w:left="410" w:hanging="410" w:hangingChars="171"/>
        <w:rPr>
          <w:rFonts w:ascii="宋体" w:hAnsi="宋体"/>
          <w:color w:val="000000" w:themeColor="text1"/>
          <w:sz w:val="24"/>
        </w:rPr>
      </w:pPr>
      <w:r>
        <w:rPr>
          <w:rFonts w:hint="eastAsia" w:ascii="宋体" w:hAnsi="宋体"/>
          <w:color w:val="000000" w:themeColor="text1"/>
          <w:sz w:val="24"/>
        </w:rPr>
        <w:t>4.1供方所供配件的包装应符合国家标准或行业标准，供方应确保包装能够有效保护配件，并能满足需方的特殊要求；由于包装不妥而造成的损失，由供方承担责任。</w:t>
      </w:r>
    </w:p>
    <w:p>
      <w:pPr>
        <w:tabs>
          <w:tab w:val="left" w:pos="1080"/>
        </w:tabs>
        <w:spacing w:line="520" w:lineRule="exact"/>
        <w:ind w:left="410" w:hanging="410" w:hangingChars="171"/>
        <w:rPr>
          <w:rFonts w:ascii="宋体" w:hAnsi="宋体"/>
          <w:color w:val="000000" w:themeColor="text1"/>
          <w:sz w:val="24"/>
        </w:rPr>
      </w:pPr>
      <w:r>
        <w:rPr>
          <w:rFonts w:hint="eastAsia" w:ascii="宋体" w:hAnsi="宋体"/>
          <w:color w:val="000000" w:themeColor="text1"/>
          <w:sz w:val="24"/>
        </w:rPr>
        <w:t>4.2供方向需方供应的零配件要有独立包装及商标，外包装上应印有配件名称、零件号、厂家名称、出厂日期、包装数量等，且必须注明“一汽凌河汽车专用配件”字样。</w:t>
      </w:r>
    </w:p>
    <w:p>
      <w:pPr>
        <w:spacing w:beforeLines="100" w:line="520" w:lineRule="exact"/>
        <w:rPr>
          <w:rFonts w:ascii="宋体" w:hAnsi="宋体"/>
          <w:b/>
          <w:color w:val="000000" w:themeColor="text1"/>
          <w:sz w:val="28"/>
          <w:szCs w:val="28"/>
        </w:rPr>
      </w:pPr>
      <w:r>
        <w:rPr>
          <w:rFonts w:hint="eastAsia" w:ascii="宋体" w:hAnsi="宋体"/>
          <w:b/>
          <w:color w:val="000000" w:themeColor="text1"/>
          <w:sz w:val="28"/>
          <w:szCs w:val="28"/>
        </w:rPr>
        <w:t>5．“三包”索赔</w:t>
      </w:r>
    </w:p>
    <w:p>
      <w:pPr>
        <w:spacing w:line="520" w:lineRule="exact"/>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5.1整车“三包”索赔</w:t>
      </w:r>
    </w:p>
    <w:p>
      <w:pPr>
        <w:tabs>
          <w:tab w:val="left" w:pos="1080"/>
        </w:tabs>
        <w:spacing w:line="520" w:lineRule="exact"/>
        <w:ind w:left="617" w:hanging="616" w:hangingChars="257"/>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5.1.1凡是由需方生产的车辆，用户在三包期内（保修定义及保修起计时间参见附件3.1，具体保修规定参见轻、中、重各车型保修政策）车辆使用过程中，发生的供方产品因制造、装配等缺陷而导致质量故障的，所发生的“三包”费用、退换车损失及相关经济损失费用，全部由供方承担。</w:t>
      </w:r>
    </w:p>
    <w:p>
      <w:pPr>
        <w:tabs>
          <w:tab w:val="left" w:pos="1080"/>
        </w:tabs>
        <w:spacing w:line="520" w:lineRule="exact"/>
        <w:ind w:left="617" w:hanging="616" w:hangingChars="257"/>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5.1.2对于特殊质量故障，需方有权根据实际情况，按照一事一议的方式进行处理。</w:t>
      </w:r>
    </w:p>
    <w:p>
      <w:pPr>
        <w:tabs>
          <w:tab w:val="left" w:pos="1080"/>
        </w:tabs>
        <w:spacing w:line="520" w:lineRule="exact"/>
        <w:ind w:left="617" w:hanging="616" w:hangingChars="257"/>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5.1.3在整车出现疑难质量问题时，在接到需方通知后，必须在2日内派专业技术人员协同相关单位及部门进行现场鉴定，并形成鉴定报告；对出现的重大及批量质量故障，供方以接到需方通知后，必须立即到达现场与需方共同处理，发生的相关费用由供方承担。</w:t>
      </w:r>
    </w:p>
    <w:p>
      <w:pPr>
        <w:spacing w:line="520" w:lineRule="exact"/>
        <w:ind w:left="540" w:hanging="540" w:hangingChars="225"/>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5.1.4因供方的配件质量而造成需方产品出现重大、批量、疑难质量问题，供方必须配合需方及时处理，费用由供方承担。因供方供货配件存在质量问题而造成需方依法向市场召回整车的，供方应当承担该召回发生的费用。供方提供的“三包”服务是产品质量的保证和索赔的约定，需方保留向供方进一步索赔（如损害需方市场信誉等）的权利。</w:t>
      </w:r>
    </w:p>
    <w:p>
      <w:pPr>
        <w:tabs>
          <w:tab w:val="left" w:pos="1080"/>
        </w:tabs>
        <w:spacing w:line="520" w:lineRule="exact"/>
        <w:ind w:left="540" w:hanging="54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5.1.5在需方为用户提供售后服务过程中，依据实际情况，需方有权选择修理、更换和退货中的任何一项服务。</w:t>
      </w:r>
    </w:p>
    <w:p>
      <w:pPr>
        <w:tabs>
          <w:tab w:val="left" w:pos="1080"/>
        </w:tabs>
        <w:spacing w:line="520" w:lineRule="exact"/>
        <w:ind w:left="540" w:hanging="54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5.1.6对于“三包”服务更换下来的旧件，供方可以选择确定旧件保管方式（返回或不返回），对于特殊配件或不便运输配件的索赔，为降低供方索赔费用，可以根据供方意见不返回需方。</w:t>
      </w:r>
    </w:p>
    <w:p>
      <w:pPr>
        <w:tabs>
          <w:tab w:val="left" w:pos="1080"/>
        </w:tabs>
        <w:spacing w:line="520" w:lineRule="exact"/>
        <w:ind w:left="540" w:hanging="54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5.1.7需方将以特约维修站返回的旧件（若有）和三包索赔单作为向供方索赔的原始依据，旧件的邮寄运费由供方承担。</w:t>
      </w:r>
    </w:p>
    <w:p>
      <w:pPr>
        <w:tabs>
          <w:tab w:val="left" w:pos="1080"/>
        </w:tabs>
        <w:spacing w:line="520" w:lineRule="exact"/>
        <w:ind w:left="540" w:hanging="54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5.1.8产品售出6个月内关键零部件出现质量问题，供方应接受需方出于市场考虑做出更换总成的处理并由供方承担索赔费用。</w:t>
      </w:r>
    </w:p>
    <w:p>
      <w:pPr>
        <w:tabs>
          <w:tab w:val="left" w:pos="1080"/>
        </w:tabs>
        <w:spacing w:line="520" w:lineRule="exact"/>
        <w:ind w:left="540" w:hanging="54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5.1.9 第三方（用户）指控需方所生产汽车的不合格部件导致了人身和财产损失，并因此向需方提出索赔和起诉，属供方产品责任的，则供方应承担第三方（用户）提出的索赔和诉讼有关的一切费用，需方先行支付的，需方向供方追偿。</w:t>
      </w:r>
    </w:p>
    <w:p>
      <w:pPr>
        <w:tabs>
          <w:tab w:val="left" w:pos="1080"/>
        </w:tabs>
        <w:spacing w:line="520" w:lineRule="exact"/>
        <w:ind w:left="540" w:hanging="54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b/>
          <w:color w:val="000000" w:themeColor="text1"/>
          <w:sz w:val="24"/>
        </w:rPr>
        <w:t>5.</w:t>
      </w:r>
      <w:r>
        <w:rPr>
          <w:rFonts w:hint="eastAsia" w:asciiTheme="minorEastAsia" w:hAnsiTheme="minorEastAsia" w:eastAsiaTheme="minorEastAsia" w:cstheme="minorEastAsia"/>
          <w:bCs/>
          <w:color w:val="000000" w:themeColor="text1"/>
          <w:sz w:val="24"/>
        </w:rPr>
        <w:t>1.10 对于某些在正常使用条件下，按照产品设计技术条件不应该出现的质量问题</w:t>
      </w:r>
      <w:r>
        <w:rPr>
          <w:rFonts w:hint="eastAsia" w:asciiTheme="minorEastAsia" w:hAnsiTheme="minorEastAsia" w:eastAsiaTheme="minorEastAsia" w:cstheme="minorEastAsia"/>
          <w:color w:val="000000" w:themeColor="text1"/>
          <w:sz w:val="24"/>
        </w:rPr>
        <w:t>，经需方查明属实，即使发生在最终用户的保修期外，如果用户援引某项行政或法律规定等，而要求需方进行保修，供方应承担与其应负责任相适应的赔偿费用。</w:t>
      </w:r>
    </w:p>
    <w:p>
      <w:pPr>
        <w:tabs>
          <w:tab w:val="left" w:pos="1080"/>
        </w:tabs>
        <w:spacing w:line="520" w:lineRule="exact"/>
        <w:ind w:left="540" w:hanging="54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5.1.11 供方每月应到需方旧件仓库确认索赔旧件数量，确认过的索赔旧件需在7个工作日内（遇节假日顺延）从需方旧件仓库中出库，需方也可根据供方要求通过物流将索赔旧件寄 给供方（物流费用由供方承担）。需方开具索赔结算单扣款。</w:t>
      </w:r>
    </w:p>
    <w:p>
      <w:pPr>
        <w:tabs>
          <w:tab w:val="left" w:pos="1080"/>
        </w:tabs>
        <w:spacing w:line="520" w:lineRule="exact"/>
        <w:ind w:left="540" w:hanging="54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5.1.12 供方每月到需方旧件仓库但不肯确认索赔旧件数量，需方直接根据索赔旧件数量开具索赔结算单扣款。若旧件退货通知函发出一个月内不领回索赔旧件，需方有权作废品处理。</w:t>
      </w:r>
    </w:p>
    <w:p>
      <w:pPr>
        <w:tabs>
          <w:tab w:val="left" w:pos="1080"/>
        </w:tabs>
        <w:spacing w:line="520" w:lineRule="exact"/>
        <w:ind w:left="540" w:hanging="54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5.1.13若供方不到需方旧件仓库确认索赔旧件数量，要求需方将索赔旧件寄给供方再确认的，供方在收到索赔旧件后需在《汽车退件回执单》上签字确认并回传给需方。需方根据回执单开具索赔结算单扣款，若供方货款不能付清索赔金额时，供方须在收到需方开具的索赔结算单20个工作日内付清剩余索赔金额，否则需方有权扣除相应货款作为赔偿。</w:t>
      </w:r>
    </w:p>
    <w:p>
      <w:pPr>
        <w:tabs>
          <w:tab w:val="left" w:pos="1080"/>
        </w:tabs>
        <w:spacing w:line="520" w:lineRule="exact"/>
        <w:ind w:left="540" w:hanging="54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 xml:space="preserve"> 5.1.14 若供方不愿意到需方旧件仓库或不愿意需方将索赔旧件寄给供方确认索赔件数量的，需方根据索赔旧件数量直接开具索赔结算单扣款。若供方在收到旧件退货通知函1个月内不领回索赔旧件，需方有权作废品处理。</w:t>
      </w:r>
    </w:p>
    <w:p>
      <w:pPr>
        <w:tabs>
          <w:tab w:val="left" w:pos="1080"/>
        </w:tabs>
        <w:spacing w:line="520" w:lineRule="exact"/>
        <w:ind w:left="540" w:hanging="54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5.1.15 玻璃旧件因运输较为困难及邮寄成本太大，不退旧件，凭供方产品标识及该产品故障图片索赔。</w:t>
      </w:r>
    </w:p>
    <w:p>
      <w:pPr>
        <w:tabs>
          <w:tab w:val="left" w:pos="1080"/>
        </w:tabs>
        <w:spacing w:line="520" w:lineRule="exact"/>
        <w:ind w:left="540" w:hanging="54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5.1.16 若供方将索赔件返修或以次充好而再次提供给需方或流入市场时，需方一经发现，供方除承担处理费用外，对供方处以5－10万元的违约金并承担流入市场后的连带赔偿责任。</w:t>
      </w:r>
    </w:p>
    <w:p>
      <w:pPr>
        <w:tabs>
          <w:tab w:val="left" w:pos="1080"/>
        </w:tabs>
        <w:spacing w:line="520" w:lineRule="exact"/>
        <w:ind w:left="540" w:hanging="54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5.1.17 无索赔件的索赔项目，根据需方提供的维修记录确认索赔。</w:t>
      </w:r>
    </w:p>
    <w:p>
      <w:pPr>
        <w:tabs>
          <w:tab w:val="left" w:pos="1080"/>
        </w:tabs>
        <w:spacing w:line="520" w:lineRule="exact"/>
        <w:ind w:left="540" w:hanging="54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5.1.18供方对索赔件有疑义的，应在5个工作日内以书面形式向需方所在地的质量管理部门提出申诉，双方协商解决，逾期视为供方同意需方的处理意见。</w:t>
      </w:r>
    </w:p>
    <w:p>
      <w:pPr>
        <w:tabs>
          <w:tab w:val="left" w:pos="1080"/>
        </w:tabs>
        <w:spacing w:beforeLines="50" w:line="520" w:lineRule="exact"/>
        <w:ind w:left="-2" w:leftChars="-1"/>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5.2三包费用结算标准：</w:t>
      </w:r>
    </w:p>
    <w:p>
      <w:pPr>
        <w:tabs>
          <w:tab w:val="left" w:pos="900"/>
          <w:tab w:val="left" w:pos="1080"/>
          <w:tab w:val="left" w:pos="1800"/>
        </w:tabs>
        <w:spacing w:line="520" w:lineRule="exact"/>
        <w:ind w:left="-1" w:leftChars="-1" w:hanging="1"/>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5.2.1 因供应商配套件本身质量问题而引发的索赔事件，供应商承担全部责任，发生的赔偿的费用计算方法如下：</w:t>
      </w:r>
    </w:p>
    <w:p>
      <w:pPr>
        <w:pStyle w:val="15"/>
        <w:ind w:left="360" w:firstLine="0" w:firstLineChars="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A：维修工时费=单位索赔工时费x索赔工时数</w:t>
      </w:r>
    </w:p>
    <w:p>
      <w:pPr>
        <w:pStyle w:val="15"/>
        <w:ind w:left="360" w:firstLine="0" w:firstLineChars="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索赔工时费价格为：重卡</w:t>
      </w:r>
      <w:r>
        <w:rPr>
          <w:rFonts w:hint="eastAsia" w:asciiTheme="minorEastAsia" w:hAnsiTheme="minorEastAsia" w:eastAsiaTheme="minorEastAsia" w:cstheme="minorEastAsia"/>
          <w:color w:val="000000" w:themeColor="text1"/>
          <w:sz w:val="24"/>
          <w:u w:val="single"/>
        </w:rPr>
        <w:t xml:space="preserve">  60</w:t>
      </w:r>
      <w:r>
        <w:rPr>
          <w:rFonts w:hint="eastAsia" w:asciiTheme="minorEastAsia" w:hAnsiTheme="minorEastAsia" w:eastAsiaTheme="minorEastAsia" w:cstheme="minorEastAsia"/>
          <w:color w:val="000000" w:themeColor="text1"/>
          <w:sz w:val="24"/>
        </w:rPr>
        <w:t>元/工时、中卡</w:t>
      </w:r>
      <w:r>
        <w:rPr>
          <w:rFonts w:hint="eastAsia" w:asciiTheme="minorEastAsia" w:hAnsiTheme="minorEastAsia" w:eastAsiaTheme="minorEastAsia" w:cstheme="minorEastAsia"/>
          <w:color w:val="000000" w:themeColor="text1"/>
          <w:sz w:val="24"/>
          <w:u w:val="single"/>
        </w:rPr>
        <w:t xml:space="preserve">  50</w:t>
      </w:r>
      <w:r>
        <w:rPr>
          <w:rFonts w:hint="eastAsia" w:asciiTheme="minorEastAsia" w:hAnsiTheme="minorEastAsia" w:eastAsiaTheme="minorEastAsia" w:cstheme="minorEastAsia"/>
          <w:color w:val="000000" w:themeColor="text1"/>
          <w:sz w:val="24"/>
        </w:rPr>
        <w:t>元/工时、轻卡</w:t>
      </w:r>
      <w:r>
        <w:rPr>
          <w:rFonts w:hint="eastAsia" w:asciiTheme="minorEastAsia" w:hAnsiTheme="minorEastAsia" w:eastAsiaTheme="minorEastAsia" w:cstheme="minorEastAsia"/>
          <w:color w:val="000000" w:themeColor="text1"/>
          <w:sz w:val="24"/>
          <w:u w:val="single"/>
        </w:rPr>
        <w:t xml:space="preserve">  45</w:t>
      </w:r>
      <w:r>
        <w:rPr>
          <w:rFonts w:hint="eastAsia" w:asciiTheme="minorEastAsia" w:hAnsiTheme="minorEastAsia" w:eastAsiaTheme="minorEastAsia" w:cstheme="minorEastAsia"/>
          <w:color w:val="000000" w:themeColor="text1"/>
          <w:sz w:val="24"/>
        </w:rPr>
        <w:t>元/工时，索赔零部件的索赔工时标准值（见《索赔工时手册》）</w:t>
      </w:r>
    </w:p>
    <w:p>
      <w:pPr>
        <w:pStyle w:val="15"/>
        <w:ind w:firstLine="360" w:firstLineChars="15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B：材料费=主损零件费用+被动损坏的费用</w:t>
      </w:r>
    </w:p>
    <w:p>
      <w:pPr>
        <w:pStyle w:val="15"/>
        <w:ind w:left="360" w:firstLine="0" w:firstLineChars="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主损零件费用：主损件采购价格x165%（包括零部件本身的价格、正常运输费、仓储费、管理费、保险费）</w:t>
      </w:r>
    </w:p>
    <w:p>
      <w:pPr>
        <w:pStyle w:val="15"/>
        <w:ind w:left="360" w:firstLine="0" w:firstLineChars="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被动损坏零件费用：被动损坏件采购价格X165%(包括零部件本身的价格、正常运输费、仓储费、管理费、保险费)</w:t>
      </w:r>
    </w:p>
    <w:p>
      <w:pPr>
        <w:ind w:firstLine="600" w:firstLineChars="25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C：其他费用</w:t>
      </w:r>
    </w:p>
    <w:p>
      <w:pPr>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 xml:space="preserve">     C=抢修抢抛费+诉讼费+差旅费+意外损失费</w:t>
      </w:r>
    </w:p>
    <w:p>
      <w:pPr>
        <w:ind w:firstLine="360" w:firstLineChars="15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抢修抢抛费：5元/公里。按抢修抢抛所发生的实际往返公里计算</w:t>
      </w:r>
    </w:p>
    <w:p>
      <w:pPr>
        <w:ind w:firstLine="405"/>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诉讼费：按实际发生的金额计算</w:t>
      </w:r>
    </w:p>
    <w:p>
      <w:pPr>
        <w:ind w:firstLine="405"/>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差旅费：按每天180元计算（出差补贴80天/人.天，住宿150元/人.天，一般不超过两人）。</w:t>
      </w:r>
    </w:p>
    <w:p>
      <w:pPr>
        <w:ind w:firstLine="405"/>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意外损失费：给乘员造成的直接或间接的精神和物质的损失费用。</w:t>
      </w:r>
    </w:p>
    <w:p>
      <w:pPr>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供应商索赔费用=A+B+C</w:t>
      </w:r>
    </w:p>
    <w:p>
      <w:pPr>
        <w:tabs>
          <w:tab w:val="left" w:pos="1080"/>
          <w:tab w:val="left" w:pos="1800"/>
        </w:tabs>
        <w:spacing w:line="520" w:lineRule="exact"/>
        <w:ind w:left="-1" w:leftChars="-1" w:hanging="1"/>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5.2.2油辅料费按规定的标准消耗定额执行,配件三包结算价格按单价结算。</w:t>
      </w:r>
    </w:p>
    <w:p>
      <w:pPr>
        <w:tabs>
          <w:tab w:val="left" w:pos="540"/>
        </w:tabs>
        <w:spacing w:line="520" w:lineRule="exact"/>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5.2.3汽车三包索赔工时费结算标准为：重卡</w:t>
      </w:r>
      <w:r>
        <w:rPr>
          <w:rFonts w:hint="eastAsia" w:asciiTheme="minorEastAsia" w:hAnsiTheme="minorEastAsia" w:eastAsiaTheme="minorEastAsia" w:cstheme="minorEastAsia"/>
          <w:color w:val="000000" w:themeColor="text1"/>
          <w:sz w:val="24"/>
          <w:u w:val="single"/>
        </w:rPr>
        <w:t xml:space="preserve">  60</w:t>
      </w:r>
      <w:r>
        <w:rPr>
          <w:rFonts w:hint="eastAsia" w:asciiTheme="minorEastAsia" w:hAnsiTheme="minorEastAsia" w:eastAsiaTheme="minorEastAsia" w:cstheme="minorEastAsia"/>
          <w:color w:val="000000" w:themeColor="text1"/>
          <w:sz w:val="24"/>
        </w:rPr>
        <w:t>元/工时、中卡</w:t>
      </w:r>
      <w:r>
        <w:rPr>
          <w:rFonts w:hint="eastAsia" w:asciiTheme="minorEastAsia" w:hAnsiTheme="minorEastAsia" w:eastAsiaTheme="minorEastAsia" w:cstheme="minorEastAsia"/>
          <w:color w:val="000000" w:themeColor="text1"/>
          <w:sz w:val="24"/>
          <w:u w:val="single"/>
        </w:rPr>
        <w:t xml:space="preserve">  50</w:t>
      </w:r>
      <w:r>
        <w:rPr>
          <w:rFonts w:hint="eastAsia" w:asciiTheme="minorEastAsia" w:hAnsiTheme="minorEastAsia" w:eastAsiaTheme="minorEastAsia" w:cstheme="minorEastAsia"/>
          <w:color w:val="000000" w:themeColor="text1"/>
          <w:sz w:val="24"/>
        </w:rPr>
        <w:t>元/工时、轻卡</w:t>
      </w:r>
      <w:r>
        <w:rPr>
          <w:rFonts w:hint="eastAsia" w:asciiTheme="minorEastAsia" w:hAnsiTheme="minorEastAsia" w:eastAsiaTheme="minorEastAsia" w:cstheme="minorEastAsia"/>
          <w:color w:val="000000" w:themeColor="text1"/>
          <w:sz w:val="24"/>
          <w:u w:val="single"/>
        </w:rPr>
        <w:t xml:space="preserve">  45</w:t>
      </w:r>
      <w:r>
        <w:rPr>
          <w:rFonts w:hint="eastAsia" w:asciiTheme="minorEastAsia" w:hAnsiTheme="minorEastAsia" w:eastAsiaTheme="minorEastAsia" w:cstheme="minorEastAsia"/>
          <w:color w:val="000000" w:themeColor="text1"/>
          <w:sz w:val="24"/>
        </w:rPr>
        <w:t>元/工时。</w:t>
      </w:r>
    </w:p>
    <w:p>
      <w:pPr>
        <w:tabs>
          <w:tab w:val="left" w:pos="540"/>
        </w:tabs>
        <w:spacing w:line="520" w:lineRule="exact"/>
        <w:ind w:left="540" w:leftChars="-1" w:hanging="542"/>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5.2.4现场进行抢修所发生的燃油费、拖车费、差旅费等一切相关费用经需方有关部门确认后，按实际发生额结算。</w:t>
      </w:r>
    </w:p>
    <w:p>
      <w:pPr>
        <w:tabs>
          <w:tab w:val="left" w:pos="540"/>
        </w:tabs>
        <w:spacing w:line="520" w:lineRule="exact"/>
        <w:ind w:left="540" w:leftChars="-1" w:hanging="542"/>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5.2.5因供方产品质量缺陷造成人身伤亡、财产损失以及其他直接或间接损失的，需方将依据《中华人民共和国产品质量法》、《消费者权益保护法》等国家相关的法律、法规进行处理。所发生的费用，由供方承担。索赔计算公式如下：</w:t>
      </w:r>
    </w:p>
    <w:p>
      <w:pPr>
        <w:tabs>
          <w:tab w:val="left" w:pos="540"/>
        </w:tabs>
        <w:spacing w:line="520" w:lineRule="exact"/>
        <w:ind w:left="540" w:leftChars="-1" w:hanging="542"/>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K×[备件采购价×160%+相关费用（如工时费、集中运费、外出服务费、拖车费、辅料费及相关零部件损失费用等）+处理质量问题的关联费+造成相关零部件损失费]</w:t>
      </w:r>
    </w:p>
    <w:p>
      <w:pPr>
        <w:tabs>
          <w:tab w:val="left" w:pos="540"/>
        </w:tabs>
        <w:spacing w:line="520" w:lineRule="exact"/>
        <w:ind w:left="540" w:leftChars="-1" w:hanging="542"/>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 xml:space="preserve"> 其中：K为故障类别系数，按照QC/T900-1997《汽车整车产品质量检验评定方法》判定质量故障类别。2类（严重故障）K=4；1类（致命故障）K=8；</w:t>
      </w:r>
    </w:p>
    <w:p>
      <w:pPr>
        <w:tabs>
          <w:tab w:val="left" w:pos="540"/>
        </w:tabs>
        <w:spacing w:beforeLines="50" w:line="520" w:lineRule="exact"/>
        <w:ind w:left="-2" w:leftChars="-1"/>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5.3三包索赔程序</w:t>
      </w:r>
    </w:p>
    <w:p>
      <w:pPr>
        <w:tabs>
          <w:tab w:val="left" w:pos="1080"/>
        </w:tabs>
        <w:spacing w:line="520" w:lineRule="exact"/>
        <w:ind w:left="540" w:leftChars="-1" w:hanging="542"/>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5.3.1整车“三包”更换下来的旧件，由需方特约维修站在发生检修月份的下一个月20日之前，寄回需方售后服务部，供方在每个月的20～25日派专人到需方售后服务部旧件仓库领取旧件，履行旧件出库手续；并在每个月25日之后由专人到售后服务部三包结算部门索赔员处领取相对应的《</w:t>
      </w:r>
      <w:r>
        <w:rPr>
          <w:rFonts w:hint="eastAsia" w:asciiTheme="minorEastAsia" w:hAnsiTheme="minorEastAsia" w:eastAsiaTheme="minorEastAsia" w:cstheme="minorEastAsia"/>
          <w:color w:val="000000" w:themeColor="text1"/>
          <w:sz w:val="24"/>
          <w:u w:val="single"/>
        </w:rPr>
        <w:t xml:space="preserve">    </w:t>
      </w:r>
      <w:r>
        <w:rPr>
          <w:rFonts w:hint="eastAsia" w:asciiTheme="minorEastAsia" w:hAnsiTheme="minorEastAsia" w:eastAsiaTheme="minorEastAsia" w:cstheme="minorEastAsia"/>
          <w:color w:val="000000" w:themeColor="text1"/>
          <w:sz w:val="24"/>
        </w:rPr>
        <w:t>年</w:t>
      </w:r>
      <w:r>
        <w:rPr>
          <w:rFonts w:hint="eastAsia" w:asciiTheme="minorEastAsia" w:hAnsiTheme="minorEastAsia" w:eastAsiaTheme="minorEastAsia" w:cstheme="minorEastAsia"/>
          <w:color w:val="000000" w:themeColor="text1"/>
          <w:sz w:val="24"/>
          <w:u w:val="single"/>
        </w:rPr>
        <w:t xml:space="preserve">    </w:t>
      </w:r>
      <w:r>
        <w:rPr>
          <w:rFonts w:hint="eastAsia" w:asciiTheme="minorEastAsia" w:hAnsiTheme="minorEastAsia" w:eastAsiaTheme="minorEastAsia" w:cstheme="minorEastAsia"/>
          <w:color w:val="000000" w:themeColor="text1"/>
          <w:sz w:val="24"/>
        </w:rPr>
        <w:t>月索赔费用明细表》，逾期不领的，售后服务部有权将旧件自行处理，相关的索赔费用视为默认，逾期提出异议的，需方概不受理。（对于配套产品品种较多、标识不是很明显的供应商，需要在25日左右提前到索赔员处对当月的索赔信息进行确认。</w:t>
      </w:r>
    </w:p>
    <w:p>
      <w:pPr>
        <w:tabs>
          <w:tab w:val="left" w:pos="1080"/>
        </w:tabs>
        <w:spacing w:line="520" w:lineRule="exact"/>
        <w:ind w:left="540" w:leftChars="-1" w:hanging="542"/>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5.3.2供方在领取旧件（故障件）后，对维修站判断故障的责任归属有异议的，可以向需方质量部门提出，由需方质量部门派人对故障件进行鉴定分析，并形成鉴定分析报告。</w:t>
      </w:r>
    </w:p>
    <w:p>
      <w:pPr>
        <w:tabs>
          <w:tab w:val="left" w:pos="540"/>
        </w:tabs>
        <w:spacing w:line="520" w:lineRule="exact"/>
        <w:ind w:left="540" w:hanging="54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5.3.3供方如果对需方的“三包”服务更换下来的旧件鉴定结果有异议，供方可以申请第三方鉴定，相应产生的费用由责任方承担。</w:t>
      </w:r>
    </w:p>
    <w:p>
      <w:pPr>
        <w:tabs>
          <w:tab w:val="left" w:pos="1080"/>
        </w:tabs>
        <w:spacing w:beforeLines="50" w:line="520" w:lineRule="exact"/>
        <w:ind w:left="-2" w:leftChars="-1"/>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5.4三包索赔费用结算、扣款与清帐的程序：</w:t>
      </w:r>
    </w:p>
    <w:p>
      <w:pPr>
        <w:tabs>
          <w:tab w:val="left" w:pos="1080"/>
        </w:tabs>
        <w:spacing w:line="520" w:lineRule="exact"/>
        <w:ind w:left="-1" w:leftChars="-1" w:hanging="1"/>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5.4.1《</w:t>
      </w:r>
      <w:r>
        <w:rPr>
          <w:rFonts w:hint="eastAsia" w:asciiTheme="minorEastAsia" w:hAnsiTheme="minorEastAsia" w:eastAsiaTheme="minorEastAsia" w:cstheme="minorEastAsia"/>
          <w:color w:val="000000" w:themeColor="text1"/>
          <w:sz w:val="24"/>
          <w:u w:val="single"/>
        </w:rPr>
        <w:t xml:space="preserve">     </w:t>
      </w:r>
      <w:r>
        <w:rPr>
          <w:rFonts w:hint="eastAsia" w:asciiTheme="minorEastAsia" w:hAnsiTheme="minorEastAsia" w:eastAsiaTheme="minorEastAsia" w:cstheme="minorEastAsia"/>
          <w:color w:val="000000" w:themeColor="text1"/>
          <w:sz w:val="24"/>
        </w:rPr>
        <w:t>年</w:t>
      </w:r>
      <w:r>
        <w:rPr>
          <w:rFonts w:hint="eastAsia" w:asciiTheme="minorEastAsia" w:hAnsiTheme="minorEastAsia" w:eastAsiaTheme="minorEastAsia" w:cstheme="minorEastAsia"/>
          <w:color w:val="000000" w:themeColor="text1"/>
          <w:sz w:val="24"/>
          <w:u w:val="single"/>
        </w:rPr>
        <w:t xml:space="preserve">    </w:t>
      </w:r>
      <w:r>
        <w:rPr>
          <w:rFonts w:hint="eastAsia" w:asciiTheme="minorEastAsia" w:hAnsiTheme="minorEastAsia" w:eastAsiaTheme="minorEastAsia" w:cstheme="minorEastAsia"/>
          <w:color w:val="000000" w:themeColor="text1"/>
          <w:sz w:val="24"/>
        </w:rPr>
        <w:t>月份索赔费用明细表》中的材料费及工时费均为不含税金额。</w:t>
      </w:r>
    </w:p>
    <w:p>
      <w:pPr>
        <w:spacing w:line="520" w:lineRule="exact"/>
        <w:ind w:left="540" w:leftChars="-1" w:hanging="542"/>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5.4.2需方采购部在每个月25日之后，将当月双方确认结果上报到需方财务部门，财务部门根据供方应承担的费用总额（对应于《  年  月份索赔费用明细表》），直接进行索赔，索赔款直接从供方的配套货款中扣除，每个月扣款一次。</w:t>
      </w:r>
    </w:p>
    <w:p>
      <w:pPr>
        <w:tabs>
          <w:tab w:val="left" w:pos="1080"/>
        </w:tabs>
        <w:spacing w:line="520" w:lineRule="exact"/>
        <w:ind w:left="-1" w:leftChars="-1" w:hanging="1"/>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5.4.3供方对当月的索赔明细认可后，应及时到需方办理相关手续。</w:t>
      </w:r>
    </w:p>
    <w:p>
      <w:pPr>
        <w:tabs>
          <w:tab w:val="left" w:pos="1080"/>
        </w:tabs>
        <w:spacing w:line="520" w:lineRule="exact"/>
        <w:ind w:left="540" w:leftChars="-1" w:hanging="542"/>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5.4.4供方无论何种原因停止供货需要履行清帐手续的，按以下程序执行：</w:t>
      </w:r>
    </w:p>
    <w:p>
      <w:pPr>
        <w:tabs>
          <w:tab w:val="left" w:pos="1080"/>
          <w:tab w:val="left" w:pos="1800"/>
        </w:tabs>
        <w:spacing w:line="520" w:lineRule="exact"/>
        <w:ind w:left="54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①到需方仓储物流部门签字盖章，确认无库存，注明库存为零的日期。</w:t>
      </w:r>
    </w:p>
    <w:p>
      <w:pPr>
        <w:tabs>
          <w:tab w:val="left" w:pos="1080"/>
          <w:tab w:val="left" w:pos="1800"/>
        </w:tabs>
        <w:spacing w:line="520" w:lineRule="exact"/>
        <w:ind w:left="54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②到需方采购部签字盖章，确认停止供货准确日期，以及停止供货后，消化库存结束时间，采购员签字，采购部长签字并盖公章。</w:t>
      </w:r>
    </w:p>
    <w:p>
      <w:pPr>
        <w:tabs>
          <w:tab w:val="left" w:pos="1080"/>
        </w:tabs>
        <w:spacing w:line="520" w:lineRule="exact"/>
        <w:ind w:left="54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③库存为零以后两年，且办理清帐前半年内没有索赔费用发生的，方可清帐。</w:t>
      </w:r>
    </w:p>
    <w:p>
      <w:pPr>
        <w:spacing w:beforeLines="100" w:line="520" w:lineRule="exact"/>
        <w:ind w:left="-1" w:leftChars="-1" w:hanging="1"/>
        <w:rPr>
          <w:rFonts w:ascii="宋体" w:hAnsi="宋体"/>
          <w:b/>
          <w:color w:val="000000" w:themeColor="text1"/>
          <w:sz w:val="28"/>
          <w:szCs w:val="28"/>
        </w:rPr>
      </w:pPr>
      <w:r>
        <w:rPr>
          <w:rFonts w:hint="eastAsia" w:ascii="宋体" w:hAnsi="宋体"/>
          <w:b/>
          <w:color w:val="000000" w:themeColor="text1"/>
          <w:sz w:val="28"/>
          <w:szCs w:val="28"/>
        </w:rPr>
        <w:t>6．产品标识</w:t>
      </w:r>
    </w:p>
    <w:p>
      <w:pPr>
        <w:pStyle w:val="3"/>
        <w:tabs>
          <w:tab w:val="left" w:pos="540"/>
        </w:tabs>
        <w:spacing w:line="520" w:lineRule="exact"/>
        <w:ind w:left="-1" w:leftChars="-1" w:hanging="1" w:firstLineChars="0"/>
        <w:rPr>
          <w:rFonts w:ascii="宋体" w:hAnsi="宋体"/>
          <w:color w:val="000000" w:themeColor="text1"/>
          <w:sz w:val="24"/>
        </w:rPr>
      </w:pPr>
      <w:r>
        <w:rPr>
          <w:rFonts w:hint="eastAsia" w:ascii="宋体" w:hAnsi="宋体"/>
          <w:color w:val="000000" w:themeColor="text1"/>
          <w:sz w:val="28"/>
          <w:szCs w:val="28"/>
        </w:rPr>
        <w:t xml:space="preserve">    </w:t>
      </w:r>
      <w:r>
        <w:rPr>
          <w:rFonts w:hint="eastAsia" w:ascii="宋体" w:hAnsi="宋体"/>
          <w:color w:val="000000" w:themeColor="text1"/>
          <w:sz w:val="24"/>
        </w:rPr>
        <w:t>供方必须在其供应的配套件及其拆散件（包括每一个拆细件）上标注需方指定的永久性标识；因故障配件无标识而导致无法分清责任的，以需方特约维修站的认定为准，供方无权提出异议。</w:t>
      </w:r>
    </w:p>
    <w:p>
      <w:pPr>
        <w:spacing w:beforeLines="100" w:line="520" w:lineRule="exact"/>
        <w:ind w:left="-1" w:leftChars="-1" w:hanging="1"/>
        <w:rPr>
          <w:rFonts w:ascii="宋体" w:hAnsi="宋体"/>
          <w:b/>
          <w:color w:val="000000" w:themeColor="text1"/>
          <w:sz w:val="28"/>
          <w:szCs w:val="28"/>
        </w:rPr>
      </w:pPr>
      <w:r>
        <w:rPr>
          <w:rFonts w:hint="eastAsia" w:ascii="宋体" w:hAnsi="宋体"/>
          <w:b/>
          <w:color w:val="000000" w:themeColor="text1"/>
          <w:sz w:val="28"/>
          <w:szCs w:val="28"/>
        </w:rPr>
        <w:t>7．非三包期内的配套件索赔</w:t>
      </w:r>
    </w:p>
    <w:p>
      <w:pPr>
        <w:tabs>
          <w:tab w:val="left" w:pos="540"/>
        </w:tabs>
        <w:spacing w:line="520" w:lineRule="exact"/>
        <w:ind w:left="-1" w:leftChars="-1" w:hanging="1"/>
        <w:rPr>
          <w:rFonts w:ascii="宋体" w:hAnsi="宋体"/>
          <w:color w:val="000000" w:themeColor="text1"/>
          <w:sz w:val="28"/>
          <w:szCs w:val="28"/>
        </w:rPr>
      </w:pPr>
      <w:r>
        <w:rPr>
          <w:rFonts w:hint="eastAsia" w:ascii="宋体" w:hAnsi="宋体"/>
          <w:color w:val="000000" w:themeColor="text1"/>
          <w:sz w:val="28"/>
          <w:szCs w:val="28"/>
        </w:rPr>
        <w:t xml:space="preserve">   </w:t>
      </w:r>
      <w:r>
        <w:rPr>
          <w:rFonts w:hint="eastAsia" w:ascii="宋体" w:hAnsi="宋体"/>
          <w:color w:val="000000" w:themeColor="text1"/>
          <w:sz w:val="24"/>
        </w:rPr>
        <w:t>需方向供方采购的用于整车“三包”期外的售后服务的配套件，发生故障需要进行（非三包期内的）“配件索赔”的，参照整车“三包”索赔程序执行。配件索赔在三包期内其费用结算方式等同于整车三包费用结算方式。</w:t>
      </w:r>
    </w:p>
    <w:p>
      <w:pPr>
        <w:tabs>
          <w:tab w:val="left" w:pos="540"/>
        </w:tabs>
        <w:spacing w:line="520" w:lineRule="exact"/>
        <w:ind w:left="-1" w:leftChars="-1" w:hanging="1"/>
        <w:rPr>
          <w:rFonts w:ascii="宋体" w:hAnsi="宋体"/>
          <w:b/>
          <w:color w:val="000000" w:themeColor="text1"/>
          <w:sz w:val="28"/>
          <w:szCs w:val="28"/>
        </w:rPr>
      </w:pPr>
      <w:r>
        <w:rPr>
          <w:rFonts w:hint="eastAsia" w:ascii="宋体" w:hAnsi="宋体"/>
          <w:b/>
          <w:color w:val="000000" w:themeColor="text1"/>
          <w:sz w:val="28"/>
          <w:szCs w:val="28"/>
        </w:rPr>
        <w:t>8．供应商供货信息反馈</w:t>
      </w:r>
    </w:p>
    <w:p>
      <w:pPr>
        <w:pStyle w:val="4"/>
        <w:tabs>
          <w:tab w:val="left" w:pos="540"/>
        </w:tabs>
        <w:spacing w:line="520" w:lineRule="exact"/>
        <w:ind w:left="-1" w:leftChars="-1" w:hanging="1" w:firstLineChars="0"/>
        <w:rPr>
          <w:rFonts w:ascii="宋体" w:hAnsi="宋体"/>
          <w:color w:val="000000" w:themeColor="text1"/>
          <w:sz w:val="24"/>
        </w:rPr>
      </w:pPr>
      <w:r>
        <w:rPr>
          <w:rFonts w:hint="eastAsia" w:ascii="宋体" w:hAnsi="宋体"/>
          <w:color w:val="000000" w:themeColor="text1"/>
          <w:sz w:val="28"/>
          <w:szCs w:val="28"/>
        </w:rPr>
        <w:t xml:space="preserve">   </w:t>
      </w:r>
      <w:r>
        <w:rPr>
          <w:rFonts w:hint="eastAsia" w:ascii="宋体" w:hAnsi="宋体"/>
          <w:color w:val="000000" w:themeColor="text1"/>
          <w:sz w:val="24"/>
        </w:rPr>
        <w:t>为了确保供货信息的准确性，减少质量故障的误判，同时也为保护供应商的利益，供方必须将配套件的品种、零件号、零件名称、适用车型、供货开始时间；品种增加及减少情况、发生时间；试装信息等的动态供货情况形成书面文件，并经过需方采购部门签字确认后，及时报给需方售后服务部三包结算部门，详见附件3.2《供应商信息表》。</w:t>
      </w:r>
    </w:p>
    <w:p>
      <w:pPr>
        <w:numPr>
          <w:ilvl w:val="0"/>
          <w:numId w:val="6"/>
        </w:numPr>
        <w:spacing w:line="520" w:lineRule="exact"/>
        <w:ind w:left="-1" w:leftChars="-1" w:hanging="1"/>
        <w:rPr>
          <w:rFonts w:ascii="宋体" w:hAnsi="宋体"/>
          <w:color w:val="000000" w:themeColor="text1"/>
          <w:sz w:val="28"/>
          <w:szCs w:val="28"/>
        </w:rPr>
      </w:pPr>
      <w:r>
        <w:rPr>
          <w:rFonts w:hint="eastAsia" w:ascii="宋体" w:hAnsi="宋体"/>
          <w:b/>
          <w:bCs/>
          <w:color w:val="000000" w:themeColor="text1"/>
          <w:sz w:val="28"/>
          <w:szCs w:val="28"/>
        </w:rPr>
        <w:t>附件为本协议之一部分，与本协议具有同等效力：</w:t>
      </w:r>
      <w:r>
        <w:rPr>
          <w:rFonts w:hint="eastAsia" w:ascii="宋体" w:hAnsi="宋体"/>
          <w:color w:val="000000" w:themeColor="text1"/>
          <w:sz w:val="28"/>
          <w:szCs w:val="28"/>
        </w:rPr>
        <w:t xml:space="preserve"> </w:t>
      </w:r>
    </w:p>
    <w:p>
      <w:pPr>
        <w:spacing w:line="520" w:lineRule="exact"/>
        <w:ind w:left="357" w:leftChars="170"/>
        <w:rPr>
          <w:rFonts w:ascii="宋体" w:hAnsi="宋体"/>
          <w:color w:val="000000" w:themeColor="text1"/>
          <w:sz w:val="24"/>
        </w:rPr>
      </w:pPr>
      <w:r>
        <w:rPr>
          <w:rFonts w:hint="eastAsia" w:ascii="宋体" w:hAnsi="宋体"/>
          <w:color w:val="000000" w:themeColor="text1"/>
          <w:sz w:val="24"/>
        </w:rPr>
        <w:t>①附件3.1  保修规定</w:t>
      </w:r>
    </w:p>
    <w:p>
      <w:pPr>
        <w:spacing w:line="520" w:lineRule="exact"/>
        <w:ind w:left="357" w:leftChars="170"/>
        <w:rPr>
          <w:rFonts w:ascii="宋体" w:hAnsi="宋体"/>
          <w:bCs/>
          <w:color w:val="000000" w:themeColor="text1"/>
          <w:sz w:val="24"/>
        </w:rPr>
      </w:pPr>
      <w:r>
        <w:rPr>
          <w:rFonts w:hint="eastAsia" w:ascii="宋体" w:hAnsi="宋体"/>
          <w:color w:val="000000" w:themeColor="text1"/>
          <w:sz w:val="24"/>
        </w:rPr>
        <w:t xml:space="preserve">②附件3.2  </w:t>
      </w:r>
      <w:r>
        <w:rPr>
          <w:rFonts w:hint="eastAsia" w:ascii="宋体" w:hAnsi="宋体"/>
          <w:bCs/>
          <w:color w:val="000000" w:themeColor="text1"/>
          <w:sz w:val="24"/>
        </w:rPr>
        <w:t>供应商信息表</w:t>
      </w:r>
    </w:p>
    <w:p>
      <w:pPr>
        <w:spacing w:line="520" w:lineRule="exact"/>
        <w:ind w:left="357" w:leftChars="170"/>
        <w:rPr>
          <w:rFonts w:ascii="宋体" w:hAnsi="宋体"/>
          <w:bCs/>
          <w:color w:val="000000" w:themeColor="text1"/>
          <w:sz w:val="24"/>
        </w:rPr>
      </w:pPr>
      <w:r>
        <w:rPr>
          <w:rFonts w:hint="eastAsia" w:ascii="宋体" w:hAnsi="宋体"/>
          <w:color w:val="000000" w:themeColor="text1"/>
          <w:sz w:val="24"/>
        </w:rPr>
        <w:t>③</w:t>
      </w:r>
      <w:r>
        <w:rPr>
          <w:rFonts w:hint="eastAsia" w:ascii="宋体" w:hAnsi="宋体"/>
          <w:bCs/>
          <w:color w:val="000000" w:themeColor="text1"/>
          <w:sz w:val="24"/>
        </w:rPr>
        <w:t>附件3.3  汽车配件包装规格</w:t>
      </w:r>
      <w:r>
        <w:rPr>
          <w:rFonts w:hint="eastAsia" w:ascii="宋体" w:hAnsi="宋体"/>
          <w:color w:val="000000" w:themeColor="text1"/>
          <w:sz w:val="24"/>
        </w:rPr>
        <w:t>(塑料袋)</w:t>
      </w:r>
    </w:p>
    <w:p>
      <w:pPr>
        <w:spacing w:line="520" w:lineRule="exact"/>
        <w:ind w:left="357" w:leftChars="170"/>
        <w:rPr>
          <w:rFonts w:ascii="宋体" w:hAnsi="宋体"/>
          <w:bCs/>
          <w:color w:val="000000" w:themeColor="text1"/>
          <w:sz w:val="24"/>
        </w:rPr>
      </w:pPr>
      <w:r>
        <w:rPr>
          <w:rFonts w:hint="eastAsia" w:ascii="宋体" w:hAnsi="宋体"/>
          <w:color w:val="000000" w:themeColor="text1"/>
          <w:sz w:val="24"/>
        </w:rPr>
        <w:t>④</w:t>
      </w:r>
      <w:r>
        <w:rPr>
          <w:rFonts w:hint="eastAsia" w:ascii="宋体" w:hAnsi="宋体"/>
          <w:bCs/>
          <w:color w:val="000000" w:themeColor="text1"/>
          <w:sz w:val="24"/>
        </w:rPr>
        <w:t>附件3.4  汽车配件包装规格</w:t>
      </w:r>
      <w:r>
        <w:rPr>
          <w:rFonts w:hint="eastAsia" w:ascii="宋体" w:hAnsi="宋体"/>
          <w:color w:val="000000" w:themeColor="text1"/>
          <w:sz w:val="24"/>
        </w:rPr>
        <w:t>(纸板箱)</w:t>
      </w:r>
    </w:p>
    <w:p>
      <w:pPr>
        <w:ind w:left="420"/>
        <w:rPr>
          <w:color w:val="000000" w:themeColor="text1"/>
          <w:sz w:val="24"/>
        </w:rPr>
      </w:pPr>
    </w:p>
    <w:p>
      <w:pPr>
        <w:tabs>
          <w:tab w:val="left" w:pos="540"/>
        </w:tabs>
        <w:spacing w:line="560" w:lineRule="exact"/>
        <w:ind w:left="360" w:hanging="360"/>
        <w:rPr>
          <w:rFonts w:asciiTheme="minorEastAsia" w:hAnsiTheme="minorEastAsia" w:eastAsiaTheme="minorEastAsia" w:cstheme="minorEastAsia"/>
          <w:b/>
          <w:bCs/>
          <w:color w:val="000000" w:themeColor="text1"/>
          <w:sz w:val="28"/>
          <w:szCs w:val="28"/>
        </w:rPr>
      </w:pPr>
    </w:p>
    <w:p>
      <w:pPr>
        <w:tabs>
          <w:tab w:val="left" w:pos="540"/>
        </w:tabs>
        <w:spacing w:line="560" w:lineRule="exact"/>
        <w:ind w:left="360" w:hanging="360"/>
        <w:rPr>
          <w:rFonts w:asciiTheme="minorEastAsia" w:hAnsiTheme="minorEastAsia" w:eastAsiaTheme="minorEastAsia" w:cstheme="minorEastAsia"/>
          <w:b/>
          <w:bCs/>
          <w:color w:val="000000" w:themeColor="text1"/>
          <w:sz w:val="28"/>
          <w:szCs w:val="28"/>
        </w:rPr>
      </w:pPr>
      <w:r>
        <w:rPr>
          <w:rFonts w:hint="eastAsia" w:asciiTheme="minorEastAsia" w:hAnsiTheme="minorEastAsia" w:eastAsiaTheme="minorEastAsia" w:cstheme="minorEastAsia"/>
          <w:b/>
          <w:bCs/>
          <w:color w:val="000000" w:themeColor="text1"/>
          <w:sz w:val="28"/>
          <w:szCs w:val="28"/>
        </w:rPr>
        <w:t>附件3.1：保修规定</w:t>
      </w:r>
    </w:p>
    <w:p>
      <w:pPr>
        <w:numPr>
          <w:ilvl w:val="0"/>
          <w:numId w:val="7"/>
        </w:numPr>
        <w:tabs>
          <w:tab w:val="left" w:pos="540"/>
          <w:tab w:val="clear" w:pos="1140"/>
        </w:tabs>
        <w:spacing w:line="560" w:lineRule="exact"/>
        <w:ind w:left="360" w:hanging="36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 xml:space="preserve"> 保修定义</w:t>
      </w:r>
    </w:p>
    <w:p>
      <w:pPr>
        <w:pStyle w:val="8"/>
        <w:tabs>
          <w:tab w:val="left" w:pos="540"/>
        </w:tabs>
        <w:spacing w:line="560" w:lineRule="exact"/>
        <w:ind w:left="360" w:firstLine="576"/>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指产品在规定的使用条件和期限内，对产品因制造、装配及材料质量问题，造成各类故障或损坏的零部件（丧失使用功能的），无偿为用户维修或更换相应配件，以确保车辆的正常使用。</w:t>
      </w:r>
    </w:p>
    <w:p>
      <w:pPr>
        <w:numPr>
          <w:ilvl w:val="0"/>
          <w:numId w:val="7"/>
        </w:numPr>
        <w:tabs>
          <w:tab w:val="left" w:pos="540"/>
          <w:tab w:val="clear" w:pos="1140"/>
        </w:tabs>
        <w:spacing w:line="560" w:lineRule="exact"/>
        <w:ind w:left="360" w:hanging="36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 xml:space="preserve"> 保修期限</w:t>
      </w:r>
    </w:p>
    <w:p>
      <w:pPr>
        <w:pStyle w:val="3"/>
        <w:tabs>
          <w:tab w:val="left" w:pos="540"/>
        </w:tabs>
        <w:spacing w:line="560" w:lineRule="exact"/>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本保修期限系指供方对需方的保修期限。</w:t>
      </w:r>
    </w:p>
    <w:p>
      <w:pPr>
        <w:pStyle w:val="3"/>
        <w:tabs>
          <w:tab w:val="left" w:pos="540"/>
        </w:tabs>
        <w:spacing w:line="560" w:lineRule="exact"/>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保修期限起始日期，从用户购车取得发票或购件发票之日开始计算:</w:t>
      </w:r>
    </w:p>
    <w:p>
      <w:pPr>
        <w:rPr>
          <w:rFonts w:asciiTheme="minorEastAsia" w:hAnsiTheme="minorEastAsia" w:eastAsiaTheme="minorEastAsia" w:cstheme="minorEastAsia"/>
          <w:b/>
          <w:color w:val="000000" w:themeColor="text1"/>
          <w:sz w:val="28"/>
          <w:szCs w:val="28"/>
        </w:rPr>
      </w:pPr>
    </w:p>
    <w:p>
      <w:pPr>
        <w:rPr>
          <w:rFonts w:asciiTheme="minorEastAsia" w:hAnsiTheme="minorEastAsia" w:eastAsiaTheme="minorEastAsia" w:cstheme="minorEastAsia"/>
          <w:b/>
          <w:color w:val="000000" w:themeColor="text1"/>
          <w:sz w:val="28"/>
          <w:szCs w:val="28"/>
        </w:rPr>
      </w:pPr>
    </w:p>
    <w:p>
      <w:pPr>
        <w:rPr>
          <w:rFonts w:asciiTheme="minorEastAsia" w:hAnsiTheme="minorEastAsia" w:eastAsiaTheme="minorEastAsia" w:cstheme="minorEastAsia"/>
          <w:b/>
          <w:color w:val="000000" w:themeColor="text1"/>
          <w:sz w:val="28"/>
          <w:szCs w:val="28"/>
        </w:rPr>
      </w:pPr>
    </w:p>
    <w:p>
      <w:pPr>
        <w:rPr>
          <w:rFonts w:asciiTheme="minorEastAsia" w:hAnsiTheme="minorEastAsia" w:eastAsiaTheme="minorEastAsia" w:cstheme="minorEastAsia"/>
          <w:b/>
          <w:color w:val="000000" w:themeColor="text1"/>
          <w:sz w:val="28"/>
          <w:szCs w:val="28"/>
        </w:rPr>
      </w:pPr>
    </w:p>
    <w:p>
      <w:pPr>
        <w:rPr>
          <w:rFonts w:asciiTheme="minorEastAsia" w:hAnsiTheme="minorEastAsia" w:eastAsiaTheme="minorEastAsia" w:cstheme="minorEastAsia"/>
          <w:b/>
          <w:color w:val="000000" w:themeColor="text1"/>
          <w:sz w:val="28"/>
          <w:szCs w:val="28"/>
        </w:rPr>
      </w:pPr>
    </w:p>
    <w:p>
      <w:pPr>
        <w:rPr>
          <w:rFonts w:asciiTheme="minorEastAsia" w:hAnsiTheme="minorEastAsia" w:eastAsiaTheme="minorEastAsia" w:cstheme="minorEastAsia"/>
          <w:b/>
          <w:color w:val="000000" w:themeColor="text1"/>
          <w:sz w:val="28"/>
          <w:szCs w:val="28"/>
        </w:rPr>
      </w:pPr>
    </w:p>
    <w:p>
      <w:pPr>
        <w:rPr>
          <w:rFonts w:asciiTheme="minorEastAsia" w:hAnsiTheme="minorEastAsia" w:eastAsiaTheme="minorEastAsia" w:cstheme="minorEastAsia"/>
          <w:b/>
          <w:color w:val="000000" w:themeColor="text1"/>
          <w:sz w:val="28"/>
          <w:szCs w:val="28"/>
        </w:rPr>
      </w:pPr>
    </w:p>
    <w:p>
      <w:pPr>
        <w:rPr>
          <w:rFonts w:asciiTheme="minorEastAsia" w:hAnsiTheme="minorEastAsia" w:eastAsiaTheme="minorEastAsia" w:cstheme="minorEastAsia"/>
          <w:b/>
          <w:color w:val="000000" w:themeColor="text1"/>
          <w:sz w:val="28"/>
          <w:szCs w:val="28"/>
        </w:rPr>
      </w:pPr>
    </w:p>
    <w:p>
      <w:pPr>
        <w:rPr>
          <w:rFonts w:asciiTheme="minorEastAsia" w:hAnsiTheme="minorEastAsia" w:eastAsiaTheme="minorEastAsia" w:cstheme="minorEastAsia"/>
          <w:b/>
          <w:color w:val="000000" w:themeColor="text1"/>
          <w:sz w:val="28"/>
          <w:szCs w:val="28"/>
        </w:rPr>
      </w:pPr>
    </w:p>
    <w:p>
      <w:pPr>
        <w:rPr>
          <w:rFonts w:asciiTheme="minorEastAsia" w:hAnsiTheme="minorEastAsia" w:eastAsiaTheme="minorEastAsia" w:cstheme="minorEastAsia"/>
          <w:b/>
          <w:color w:val="000000" w:themeColor="text1"/>
          <w:sz w:val="28"/>
          <w:szCs w:val="28"/>
        </w:rPr>
      </w:pPr>
    </w:p>
    <w:p>
      <w:pPr>
        <w:rPr>
          <w:rFonts w:asciiTheme="minorEastAsia" w:hAnsiTheme="minorEastAsia" w:eastAsiaTheme="minorEastAsia" w:cstheme="minorEastAsia"/>
          <w:b/>
          <w:color w:val="000000" w:themeColor="text1"/>
          <w:sz w:val="28"/>
          <w:szCs w:val="28"/>
        </w:rPr>
      </w:pPr>
    </w:p>
    <w:p>
      <w:pPr>
        <w:rPr>
          <w:rFonts w:asciiTheme="minorEastAsia" w:hAnsiTheme="minorEastAsia" w:eastAsiaTheme="minorEastAsia" w:cstheme="minorEastAsia"/>
          <w:b/>
          <w:color w:val="000000" w:themeColor="text1"/>
          <w:sz w:val="28"/>
          <w:szCs w:val="28"/>
        </w:rPr>
      </w:pPr>
    </w:p>
    <w:p>
      <w:pPr>
        <w:rPr>
          <w:rFonts w:asciiTheme="minorEastAsia" w:hAnsiTheme="minorEastAsia" w:eastAsiaTheme="minorEastAsia" w:cstheme="minorEastAsia"/>
          <w:b/>
          <w:color w:val="000000" w:themeColor="text1"/>
          <w:sz w:val="28"/>
          <w:szCs w:val="28"/>
        </w:rPr>
      </w:pPr>
    </w:p>
    <w:p>
      <w:pPr>
        <w:rPr>
          <w:rFonts w:asciiTheme="minorEastAsia" w:hAnsiTheme="minorEastAsia" w:eastAsiaTheme="minorEastAsia" w:cstheme="minorEastAsia"/>
          <w:b/>
          <w:color w:val="000000" w:themeColor="text1"/>
          <w:sz w:val="28"/>
          <w:szCs w:val="28"/>
        </w:rPr>
      </w:pPr>
    </w:p>
    <w:p>
      <w:pPr>
        <w:rPr>
          <w:rFonts w:asciiTheme="minorEastAsia" w:hAnsiTheme="minorEastAsia" w:eastAsiaTheme="minorEastAsia" w:cstheme="minorEastAsia"/>
          <w:b/>
          <w:color w:val="000000" w:themeColor="text1"/>
          <w:sz w:val="28"/>
          <w:szCs w:val="28"/>
        </w:rPr>
      </w:pPr>
    </w:p>
    <w:p>
      <w:pPr>
        <w:rPr>
          <w:rFonts w:asciiTheme="minorEastAsia" w:hAnsiTheme="minorEastAsia" w:eastAsiaTheme="minorEastAsia" w:cstheme="minorEastAsia"/>
          <w:b/>
          <w:color w:val="000000" w:themeColor="text1"/>
          <w:sz w:val="28"/>
          <w:szCs w:val="28"/>
        </w:rPr>
      </w:pPr>
      <w:r>
        <w:rPr>
          <w:rFonts w:hint="eastAsia" w:asciiTheme="minorEastAsia" w:hAnsiTheme="minorEastAsia" w:eastAsiaTheme="minorEastAsia" w:cstheme="minorEastAsia"/>
          <w:b/>
          <w:color w:val="000000" w:themeColor="text1"/>
          <w:sz w:val="28"/>
          <w:szCs w:val="28"/>
        </w:rPr>
        <w:t>附件3.2：</w:t>
      </w:r>
    </w:p>
    <w:p>
      <w:pPr>
        <w:ind w:left="420"/>
        <w:jc w:val="center"/>
        <w:rPr>
          <w:b/>
          <w:bCs/>
          <w:color w:val="000000" w:themeColor="text1"/>
          <w:sz w:val="28"/>
          <w:szCs w:val="28"/>
        </w:rPr>
      </w:pPr>
      <w:r>
        <w:rPr>
          <w:rFonts w:hint="eastAsia"/>
          <w:b/>
          <w:bCs/>
          <w:color w:val="000000" w:themeColor="text1"/>
          <w:sz w:val="28"/>
          <w:szCs w:val="28"/>
        </w:rPr>
        <w:t>供应商信息表</w:t>
      </w:r>
    </w:p>
    <w:tbl>
      <w:tblPr>
        <w:tblStyle w:val="10"/>
        <w:tblW w:w="95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413"/>
        <w:gridCol w:w="147"/>
        <w:gridCol w:w="708"/>
        <w:gridCol w:w="405"/>
        <w:gridCol w:w="588"/>
        <w:gridCol w:w="852"/>
        <w:gridCol w:w="357"/>
        <w:gridCol w:w="1200"/>
        <w:gridCol w:w="1134"/>
        <w:gridCol w:w="549"/>
        <w:gridCol w:w="444"/>
        <w:gridCol w:w="1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980" w:type="dxa"/>
            <w:gridSpan w:val="2"/>
            <w:vAlign w:val="center"/>
          </w:tcPr>
          <w:p>
            <w:pPr>
              <w:jc w:val="center"/>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供应商名称</w:t>
            </w:r>
          </w:p>
        </w:tc>
        <w:tc>
          <w:tcPr>
            <w:tcW w:w="1260" w:type="dxa"/>
            <w:gridSpan w:val="3"/>
            <w:vAlign w:val="center"/>
          </w:tcPr>
          <w:p>
            <w:pPr>
              <w:jc w:val="center"/>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产品标识（特征）</w:t>
            </w:r>
          </w:p>
        </w:tc>
        <w:tc>
          <w:tcPr>
            <w:tcW w:w="1797" w:type="dxa"/>
            <w:gridSpan w:val="3"/>
            <w:vAlign w:val="center"/>
          </w:tcPr>
          <w:p>
            <w:pPr>
              <w:jc w:val="center"/>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联系电话</w:t>
            </w:r>
          </w:p>
        </w:tc>
        <w:tc>
          <w:tcPr>
            <w:tcW w:w="2883" w:type="dxa"/>
            <w:gridSpan w:val="3"/>
            <w:vAlign w:val="center"/>
          </w:tcPr>
          <w:p>
            <w:pPr>
              <w:jc w:val="center"/>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地址（E- mail地址）</w:t>
            </w:r>
          </w:p>
        </w:tc>
        <w:tc>
          <w:tcPr>
            <w:tcW w:w="1620" w:type="dxa"/>
            <w:gridSpan w:val="2"/>
            <w:vAlign w:val="center"/>
          </w:tcPr>
          <w:p>
            <w:pPr>
              <w:jc w:val="center"/>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980" w:type="dxa"/>
            <w:gridSpan w:val="2"/>
            <w:vAlign w:val="center"/>
          </w:tcPr>
          <w:p>
            <w:pPr>
              <w:jc w:val="center"/>
              <w:rPr>
                <w:rFonts w:asciiTheme="minorEastAsia" w:hAnsiTheme="minorEastAsia" w:eastAsiaTheme="minorEastAsia" w:cstheme="minorEastAsia"/>
                <w:sz w:val="24"/>
              </w:rPr>
            </w:pPr>
            <w:r>
              <w:rPr>
                <w:rFonts w:hint="eastAsia"/>
                <w:color w:val="000000" w:themeColor="text1"/>
                <w:sz w:val="28"/>
                <w:szCs w:val="28"/>
              </w:rPr>
              <w:t>十堰合川工贸有限公司</w:t>
            </w:r>
          </w:p>
        </w:tc>
        <w:tc>
          <w:tcPr>
            <w:tcW w:w="1260" w:type="dxa"/>
            <w:gridSpan w:val="3"/>
            <w:vAlign w:val="center"/>
          </w:tcPr>
          <w:p>
            <w:pPr>
              <w:jc w:val="center"/>
              <w:rPr>
                <w:rFonts w:asciiTheme="minorEastAsia" w:hAnsiTheme="minorEastAsia" w:eastAsiaTheme="minorEastAsia" w:cstheme="minorEastAsia"/>
                <w:color w:val="000000" w:themeColor="text1"/>
                <w:sz w:val="24"/>
              </w:rPr>
            </w:pPr>
          </w:p>
        </w:tc>
        <w:tc>
          <w:tcPr>
            <w:tcW w:w="1797" w:type="dxa"/>
            <w:gridSpan w:val="3"/>
            <w:vAlign w:val="center"/>
          </w:tcPr>
          <w:p>
            <w:pPr>
              <w:jc w:val="center"/>
              <w:rPr>
                <w:rFonts w:asciiTheme="minorEastAsia" w:hAnsiTheme="minorEastAsia" w:eastAsiaTheme="minorEastAsia" w:cstheme="minorEastAsia"/>
                <w:color w:val="000000" w:themeColor="text1"/>
                <w:sz w:val="24"/>
              </w:rPr>
            </w:pPr>
          </w:p>
        </w:tc>
        <w:tc>
          <w:tcPr>
            <w:tcW w:w="2883" w:type="dxa"/>
            <w:gridSpan w:val="3"/>
            <w:vAlign w:val="center"/>
          </w:tcPr>
          <w:p>
            <w:pPr>
              <w:jc w:val="center"/>
              <w:rPr>
                <w:rFonts w:asciiTheme="minorEastAsia" w:hAnsiTheme="minorEastAsia" w:eastAsiaTheme="minorEastAsia" w:cstheme="minorEastAsia"/>
                <w:color w:val="000000" w:themeColor="text1"/>
                <w:sz w:val="24"/>
              </w:rPr>
            </w:pPr>
          </w:p>
        </w:tc>
        <w:tc>
          <w:tcPr>
            <w:tcW w:w="1620" w:type="dxa"/>
            <w:gridSpan w:val="2"/>
            <w:vAlign w:val="center"/>
          </w:tcPr>
          <w:p>
            <w:pPr>
              <w:jc w:val="center"/>
              <w:rPr>
                <w:rFonts w:asciiTheme="minorEastAsia" w:hAnsiTheme="minorEastAsia" w:eastAsiaTheme="minorEastAsia" w:cstheme="minorEastAsia"/>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9540" w:type="dxa"/>
            <w:gridSpan w:val="13"/>
            <w:vAlign w:val="center"/>
          </w:tcPr>
          <w:p>
            <w:pPr>
              <w:jc w:val="center"/>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配套产品明细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pPr>
              <w:jc w:val="center"/>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序号</w:t>
            </w:r>
          </w:p>
        </w:tc>
        <w:tc>
          <w:tcPr>
            <w:tcW w:w="1560" w:type="dxa"/>
            <w:gridSpan w:val="2"/>
            <w:vAlign w:val="center"/>
          </w:tcPr>
          <w:p>
            <w:pPr>
              <w:jc w:val="center"/>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产品名称</w:t>
            </w:r>
          </w:p>
        </w:tc>
        <w:tc>
          <w:tcPr>
            <w:tcW w:w="708" w:type="dxa"/>
            <w:vAlign w:val="center"/>
          </w:tcPr>
          <w:p>
            <w:pPr>
              <w:jc w:val="center"/>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单车数量</w:t>
            </w:r>
          </w:p>
        </w:tc>
        <w:tc>
          <w:tcPr>
            <w:tcW w:w="993" w:type="dxa"/>
            <w:gridSpan w:val="2"/>
            <w:vAlign w:val="center"/>
          </w:tcPr>
          <w:p>
            <w:pPr>
              <w:jc w:val="center"/>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适用车型</w:t>
            </w:r>
          </w:p>
        </w:tc>
        <w:tc>
          <w:tcPr>
            <w:tcW w:w="2409" w:type="dxa"/>
            <w:gridSpan w:val="3"/>
            <w:vAlign w:val="center"/>
          </w:tcPr>
          <w:p>
            <w:pPr>
              <w:jc w:val="center"/>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图号/件号</w:t>
            </w:r>
          </w:p>
        </w:tc>
        <w:tc>
          <w:tcPr>
            <w:tcW w:w="1134" w:type="dxa"/>
            <w:vAlign w:val="center"/>
          </w:tcPr>
          <w:p>
            <w:pPr>
              <w:jc w:val="center"/>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价格（元）</w:t>
            </w:r>
          </w:p>
        </w:tc>
        <w:tc>
          <w:tcPr>
            <w:tcW w:w="993" w:type="dxa"/>
            <w:gridSpan w:val="2"/>
            <w:vAlign w:val="center"/>
          </w:tcPr>
          <w:p>
            <w:pPr>
              <w:jc w:val="center"/>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供货周期（天）</w:t>
            </w:r>
          </w:p>
        </w:tc>
        <w:tc>
          <w:tcPr>
            <w:tcW w:w="1176" w:type="dxa"/>
            <w:vAlign w:val="center"/>
          </w:tcPr>
          <w:p>
            <w:pPr>
              <w:jc w:val="center"/>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67" w:type="dxa"/>
          </w:tcPr>
          <w:p>
            <w:pPr>
              <w:rPr>
                <w:rFonts w:asciiTheme="minorEastAsia" w:hAnsiTheme="minorEastAsia" w:eastAsiaTheme="minorEastAsia" w:cstheme="minorEastAsia"/>
                <w:color w:val="000000" w:themeColor="text1"/>
                <w:sz w:val="24"/>
              </w:rPr>
            </w:pPr>
          </w:p>
        </w:tc>
        <w:tc>
          <w:tcPr>
            <w:tcW w:w="1560" w:type="dxa"/>
            <w:gridSpan w:val="2"/>
          </w:tcPr>
          <w:p>
            <w:pPr>
              <w:rPr>
                <w:rFonts w:asciiTheme="minorEastAsia" w:hAnsiTheme="minorEastAsia" w:eastAsiaTheme="minorEastAsia" w:cstheme="minorEastAsia"/>
                <w:color w:val="000000" w:themeColor="text1"/>
                <w:sz w:val="24"/>
              </w:rPr>
            </w:pPr>
          </w:p>
        </w:tc>
        <w:tc>
          <w:tcPr>
            <w:tcW w:w="708" w:type="dxa"/>
          </w:tcPr>
          <w:p>
            <w:pPr>
              <w:rPr>
                <w:rFonts w:asciiTheme="minorEastAsia" w:hAnsiTheme="minorEastAsia" w:eastAsiaTheme="minorEastAsia" w:cstheme="minorEastAsia"/>
                <w:color w:val="000000" w:themeColor="text1"/>
                <w:sz w:val="24"/>
              </w:rPr>
            </w:pPr>
          </w:p>
        </w:tc>
        <w:tc>
          <w:tcPr>
            <w:tcW w:w="993" w:type="dxa"/>
            <w:gridSpan w:val="2"/>
          </w:tcPr>
          <w:p>
            <w:pPr>
              <w:rPr>
                <w:rFonts w:asciiTheme="minorEastAsia" w:hAnsiTheme="minorEastAsia" w:eastAsiaTheme="minorEastAsia" w:cstheme="minorEastAsia"/>
                <w:color w:val="000000" w:themeColor="text1"/>
                <w:sz w:val="24"/>
              </w:rPr>
            </w:pPr>
          </w:p>
        </w:tc>
        <w:tc>
          <w:tcPr>
            <w:tcW w:w="2409" w:type="dxa"/>
            <w:gridSpan w:val="3"/>
          </w:tcPr>
          <w:p>
            <w:pPr>
              <w:rPr>
                <w:rFonts w:asciiTheme="minorEastAsia" w:hAnsiTheme="minorEastAsia" w:eastAsiaTheme="minorEastAsia" w:cstheme="minorEastAsia"/>
                <w:color w:val="000000" w:themeColor="text1"/>
                <w:sz w:val="24"/>
              </w:rPr>
            </w:pPr>
          </w:p>
        </w:tc>
        <w:tc>
          <w:tcPr>
            <w:tcW w:w="1134" w:type="dxa"/>
          </w:tcPr>
          <w:p>
            <w:pPr>
              <w:rPr>
                <w:rFonts w:asciiTheme="minorEastAsia" w:hAnsiTheme="minorEastAsia" w:eastAsiaTheme="minorEastAsia" w:cstheme="minorEastAsia"/>
                <w:color w:val="000000" w:themeColor="text1"/>
                <w:sz w:val="24"/>
              </w:rPr>
            </w:pPr>
          </w:p>
        </w:tc>
        <w:tc>
          <w:tcPr>
            <w:tcW w:w="993" w:type="dxa"/>
            <w:gridSpan w:val="2"/>
          </w:tcPr>
          <w:p>
            <w:pPr>
              <w:rPr>
                <w:rFonts w:asciiTheme="minorEastAsia" w:hAnsiTheme="minorEastAsia" w:eastAsiaTheme="minorEastAsia" w:cstheme="minorEastAsia"/>
                <w:color w:val="000000" w:themeColor="text1"/>
                <w:sz w:val="24"/>
              </w:rPr>
            </w:pPr>
          </w:p>
        </w:tc>
        <w:tc>
          <w:tcPr>
            <w:tcW w:w="1176" w:type="dxa"/>
          </w:tcPr>
          <w:p>
            <w:pPr>
              <w:rPr>
                <w:rFonts w:asciiTheme="minorEastAsia" w:hAnsiTheme="minorEastAsia" w:eastAsiaTheme="minorEastAsia" w:cstheme="minorEastAsia"/>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67" w:type="dxa"/>
          </w:tcPr>
          <w:p>
            <w:pPr>
              <w:rPr>
                <w:rFonts w:asciiTheme="minorEastAsia" w:hAnsiTheme="minorEastAsia" w:eastAsiaTheme="minorEastAsia" w:cstheme="minorEastAsia"/>
                <w:color w:val="000000" w:themeColor="text1"/>
                <w:sz w:val="24"/>
              </w:rPr>
            </w:pPr>
          </w:p>
        </w:tc>
        <w:tc>
          <w:tcPr>
            <w:tcW w:w="1560" w:type="dxa"/>
            <w:gridSpan w:val="2"/>
          </w:tcPr>
          <w:p>
            <w:pPr>
              <w:rPr>
                <w:rFonts w:asciiTheme="minorEastAsia" w:hAnsiTheme="minorEastAsia" w:eastAsiaTheme="minorEastAsia" w:cstheme="minorEastAsia"/>
                <w:color w:val="000000" w:themeColor="text1"/>
                <w:sz w:val="24"/>
              </w:rPr>
            </w:pPr>
          </w:p>
        </w:tc>
        <w:tc>
          <w:tcPr>
            <w:tcW w:w="708" w:type="dxa"/>
          </w:tcPr>
          <w:p>
            <w:pPr>
              <w:rPr>
                <w:rFonts w:asciiTheme="minorEastAsia" w:hAnsiTheme="minorEastAsia" w:eastAsiaTheme="minorEastAsia" w:cstheme="minorEastAsia"/>
                <w:color w:val="000000" w:themeColor="text1"/>
                <w:sz w:val="24"/>
              </w:rPr>
            </w:pPr>
          </w:p>
        </w:tc>
        <w:tc>
          <w:tcPr>
            <w:tcW w:w="993" w:type="dxa"/>
            <w:gridSpan w:val="2"/>
          </w:tcPr>
          <w:p>
            <w:pPr>
              <w:rPr>
                <w:rFonts w:asciiTheme="minorEastAsia" w:hAnsiTheme="minorEastAsia" w:eastAsiaTheme="minorEastAsia" w:cstheme="minorEastAsia"/>
                <w:color w:val="000000" w:themeColor="text1"/>
                <w:sz w:val="24"/>
              </w:rPr>
            </w:pPr>
          </w:p>
        </w:tc>
        <w:tc>
          <w:tcPr>
            <w:tcW w:w="2409" w:type="dxa"/>
            <w:gridSpan w:val="3"/>
          </w:tcPr>
          <w:p>
            <w:pPr>
              <w:rPr>
                <w:rFonts w:asciiTheme="minorEastAsia" w:hAnsiTheme="minorEastAsia" w:eastAsiaTheme="minorEastAsia" w:cstheme="minorEastAsia"/>
                <w:color w:val="000000" w:themeColor="text1"/>
                <w:sz w:val="24"/>
              </w:rPr>
            </w:pPr>
          </w:p>
        </w:tc>
        <w:tc>
          <w:tcPr>
            <w:tcW w:w="1134" w:type="dxa"/>
          </w:tcPr>
          <w:p>
            <w:pPr>
              <w:rPr>
                <w:rFonts w:asciiTheme="minorEastAsia" w:hAnsiTheme="minorEastAsia" w:eastAsiaTheme="minorEastAsia" w:cstheme="minorEastAsia"/>
                <w:color w:val="000000" w:themeColor="text1"/>
                <w:sz w:val="24"/>
              </w:rPr>
            </w:pPr>
          </w:p>
        </w:tc>
        <w:tc>
          <w:tcPr>
            <w:tcW w:w="993" w:type="dxa"/>
            <w:gridSpan w:val="2"/>
          </w:tcPr>
          <w:p>
            <w:pPr>
              <w:rPr>
                <w:rFonts w:asciiTheme="minorEastAsia" w:hAnsiTheme="minorEastAsia" w:eastAsiaTheme="minorEastAsia" w:cstheme="minorEastAsia"/>
                <w:color w:val="000000" w:themeColor="text1"/>
                <w:sz w:val="24"/>
              </w:rPr>
            </w:pPr>
          </w:p>
        </w:tc>
        <w:tc>
          <w:tcPr>
            <w:tcW w:w="1176" w:type="dxa"/>
          </w:tcPr>
          <w:p>
            <w:pPr>
              <w:rPr>
                <w:rFonts w:asciiTheme="minorEastAsia" w:hAnsiTheme="minorEastAsia" w:eastAsiaTheme="minorEastAsia" w:cstheme="minorEastAsia"/>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67" w:type="dxa"/>
          </w:tcPr>
          <w:p>
            <w:pPr>
              <w:rPr>
                <w:rFonts w:asciiTheme="minorEastAsia" w:hAnsiTheme="minorEastAsia" w:eastAsiaTheme="minorEastAsia" w:cstheme="minorEastAsia"/>
                <w:color w:val="000000" w:themeColor="text1"/>
                <w:sz w:val="24"/>
              </w:rPr>
            </w:pPr>
          </w:p>
        </w:tc>
        <w:tc>
          <w:tcPr>
            <w:tcW w:w="1560" w:type="dxa"/>
            <w:gridSpan w:val="2"/>
          </w:tcPr>
          <w:p>
            <w:pPr>
              <w:rPr>
                <w:rFonts w:asciiTheme="minorEastAsia" w:hAnsiTheme="minorEastAsia" w:eastAsiaTheme="minorEastAsia" w:cstheme="minorEastAsia"/>
                <w:color w:val="000000" w:themeColor="text1"/>
                <w:sz w:val="24"/>
              </w:rPr>
            </w:pPr>
          </w:p>
        </w:tc>
        <w:tc>
          <w:tcPr>
            <w:tcW w:w="708" w:type="dxa"/>
          </w:tcPr>
          <w:p>
            <w:pPr>
              <w:rPr>
                <w:rFonts w:asciiTheme="minorEastAsia" w:hAnsiTheme="minorEastAsia" w:eastAsiaTheme="minorEastAsia" w:cstheme="minorEastAsia"/>
                <w:color w:val="000000" w:themeColor="text1"/>
                <w:sz w:val="24"/>
              </w:rPr>
            </w:pPr>
          </w:p>
        </w:tc>
        <w:tc>
          <w:tcPr>
            <w:tcW w:w="993" w:type="dxa"/>
            <w:gridSpan w:val="2"/>
          </w:tcPr>
          <w:p>
            <w:pPr>
              <w:rPr>
                <w:rFonts w:asciiTheme="minorEastAsia" w:hAnsiTheme="minorEastAsia" w:eastAsiaTheme="minorEastAsia" w:cstheme="minorEastAsia"/>
                <w:color w:val="000000" w:themeColor="text1"/>
                <w:sz w:val="24"/>
              </w:rPr>
            </w:pPr>
          </w:p>
        </w:tc>
        <w:tc>
          <w:tcPr>
            <w:tcW w:w="2409" w:type="dxa"/>
            <w:gridSpan w:val="3"/>
          </w:tcPr>
          <w:p>
            <w:pPr>
              <w:rPr>
                <w:rFonts w:asciiTheme="minorEastAsia" w:hAnsiTheme="minorEastAsia" w:eastAsiaTheme="minorEastAsia" w:cstheme="minorEastAsia"/>
                <w:color w:val="000000" w:themeColor="text1"/>
                <w:sz w:val="24"/>
              </w:rPr>
            </w:pPr>
          </w:p>
        </w:tc>
        <w:tc>
          <w:tcPr>
            <w:tcW w:w="1134" w:type="dxa"/>
          </w:tcPr>
          <w:p>
            <w:pPr>
              <w:rPr>
                <w:rFonts w:asciiTheme="minorEastAsia" w:hAnsiTheme="minorEastAsia" w:eastAsiaTheme="minorEastAsia" w:cstheme="minorEastAsia"/>
                <w:color w:val="000000" w:themeColor="text1"/>
                <w:sz w:val="24"/>
              </w:rPr>
            </w:pPr>
          </w:p>
        </w:tc>
        <w:tc>
          <w:tcPr>
            <w:tcW w:w="993" w:type="dxa"/>
            <w:gridSpan w:val="2"/>
          </w:tcPr>
          <w:p>
            <w:pPr>
              <w:rPr>
                <w:rFonts w:asciiTheme="minorEastAsia" w:hAnsiTheme="minorEastAsia" w:eastAsiaTheme="minorEastAsia" w:cstheme="minorEastAsia"/>
                <w:color w:val="000000" w:themeColor="text1"/>
                <w:sz w:val="24"/>
              </w:rPr>
            </w:pPr>
          </w:p>
        </w:tc>
        <w:tc>
          <w:tcPr>
            <w:tcW w:w="1176" w:type="dxa"/>
          </w:tcPr>
          <w:p>
            <w:pPr>
              <w:rPr>
                <w:rFonts w:asciiTheme="minorEastAsia" w:hAnsiTheme="minorEastAsia" w:eastAsiaTheme="minorEastAsia" w:cstheme="minorEastAsia"/>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67" w:type="dxa"/>
          </w:tcPr>
          <w:p>
            <w:pPr>
              <w:rPr>
                <w:rFonts w:asciiTheme="minorEastAsia" w:hAnsiTheme="minorEastAsia" w:eastAsiaTheme="minorEastAsia" w:cstheme="minorEastAsia"/>
                <w:color w:val="000000" w:themeColor="text1"/>
                <w:sz w:val="24"/>
              </w:rPr>
            </w:pPr>
          </w:p>
        </w:tc>
        <w:tc>
          <w:tcPr>
            <w:tcW w:w="1560" w:type="dxa"/>
            <w:gridSpan w:val="2"/>
          </w:tcPr>
          <w:p>
            <w:pPr>
              <w:rPr>
                <w:rFonts w:asciiTheme="minorEastAsia" w:hAnsiTheme="minorEastAsia" w:eastAsiaTheme="minorEastAsia" w:cstheme="minorEastAsia"/>
                <w:color w:val="000000" w:themeColor="text1"/>
                <w:sz w:val="24"/>
              </w:rPr>
            </w:pPr>
          </w:p>
        </w:tc>
        <w:tc>
          <w:tcPr>
            <w:tcW w:w="708" w:type="dxa"/>
          </w:tcPr>
          <w:p>
            <w:pPr>
              <w:rPr>
                <w:rFonts w:asciiTheme="minorEastAsia" w:hAnsiTheme="minorEastAsia" w:eastAsiaTheme="minorEastAsia" w:cstheme="minorEastAsia"/>
                <w:color w:val="000000" w:themeColor="text1"/>
                <w:sz w:val="24"/>
              </w:rPr>
            </w:pPr>
          </w:p>
        </w:tc>
        <w:tc>
          <w:tcPr>
            <w:tcW w:w="993" w:type="dxa"/>
            <w:gridSpan w:val="2"/>
          </w:tcPr>
          <w:p>
            <w:pPr>
              <w:rPr>
                <w:rFonts w:asciiTheme="minorEastAsia" w:hAnsiTheme="minorEastAsia" w:eastAsiaTheme="minorEastAsia" w:cstheme="minorEastAsia"/>
                <w:color w:val="000000" w:themeColor="text1"/>
                <w:sz w:val="24"/>
              </w:rPr>
            </w:pPr>
          </w:p>
        </w:tc>
        <w:tc>
          <w:tcPr>
            <w:tcW w:w="2409" w:type="dxa"/>
            <w:gridSpan w:val="3"/>
          </w:tcPr>
          <w:p>
            <w:pPr>
              <w:rPr>
                <w:rFonts w:asciiTheme="minorEastAsia" w:hAnsiTheme="minorEastAsia" w:eastAsiaTheme="minorEastAsia" w:cstheme="minorEastAsia"/>
                <w:color w:val="000000" w:themeColor="text1"/>
                <w:sz w:val="24"/>
              </w:rPr>
            </w:pPr>
          </w:p>
        </w:tc>
        <w:tc>
          <w:tcPr>
            <w:tcW w:w="1134" w:type="dxa"/>
          </w:tcPr>
          <w:p>
            <w:pPr>
              <w:rPr>
                <w:rFonts w:asciiTheme="minorEastAsia" w:hAnsiTheme="minorEastAsia" w:eastAsiaTheme="minorEastAsia" w:cstheme="minorEastAsia"/>
                <w:color w:val="000000" w:themeColor="text1"/>
                <w:sz w:val="24"/>
              </w:rPr>
            </w:pPr>
          </w:p>
        </w:tc>
        <w:tc>
          <w:tcPr>
            <w:tcW w:w="993" w:type="dxa"/>
            <w:gridSpan w:val="2"/>
          </w:tcPr>
          <w:p>
            <w:pPr>
              <w:rPr>
                <w:rFonts w:asciiTheme="minorEastAsia" w:hAnsiTheme="minorEastAsia" w:eastAsiaTheme="minorEastAsia" w:cstheme="minorEastAsia"/>
                <w:color w:val="000000" w:themeColor="text1"/>
                <w:sz w:val="24"/>
              </w:rPr>
            </w:pPr>
          </w:p>
        </w:tc>
        <w:tc>
          <w:tcPr>
            <w:tcW w:w="1176" w:type="dxa"/>
          </w:tcPr>
          <w:p>
            <w:pPr>
              <w:rPr>
                <w:rFonts w:asciiTheme="minorEastAsia" w:hAnsiTheme="minorEastAsia" w:eastAsiaTheme="minorEastAsia" w:cstheme="minorEastAsia"/>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67" w:type="dxa"/>
          </w:tcPr>
          <w:p>
            <w:pPr>
              <w:rPr>
                <w:rFonts w:asciiTheme="minorEastAsia" w:hAnsiTheme="minorEastAsia" w:eastAsiaTheme="minorEastAsia" w:cstheme="minorEastAsia"/>
                <w:color w:val="000000" w:themeColor="text1"/>
                <w:sz w:val="24"/>
              </w:rPr>
            </w:pPr>
          </w:p>
        </w:tc>
        <w:tc>
          <w:tcPr>
            <w:tcW w:w="1560" w:type="dxa"/>
            <w:gridSpan w:val="2"/>
          </w:tcPr>
          <w:p>
            <w:pPr>
              <w:rPr>
                <w:rFonts w:asciiTheme="minorEastAsia" w:hAnsiTheme="minorEastAsia" w:eastAsiaTheme="minorEastAsia" w:cstheme="minorEastAsia"/>
                <w:color w:val="000000" w:themeColor="text1"/>
                <w:sz w:val="24"/>
              </w:rPr>
            </w:pPr>
          </w:p>
        </w:tc>
        <w:tc>
          <w:tcPr>
            <w:tcW w:w="708" w:type="dxa"/>
          </w:tcPr>
          <w:p>
            <w:pPr>
              <w:rPr>
                <w:rFonts w:asciiTheme="minorEastAsia" w:hAnsiTheme="minorEastAsia" w:eastAsiaTheme="minorEastAsia" w:cstheme="minorEastAsia"/>
                <w:color w:val="000000" w:themeColor="text1"/>
                <w:sz w:val="24"/>
              </w:rPr>
            </w:pPr>
          </w:p>
        </w:tc>
        <w:tc>
          <w:tcPr>
            <w:tcW w:w="993" w:type="dxa"/>
            <w:gridSpan w:val="2"/>
          </w:tcPr>
          <w:p>
            <w:pPr>
              <w:rPr>
                <w:rFonts w:asciiTheme="minorEastAsia" w:hAnsiTheme="minorEastAsia" w:eastAsiaTheme="minorEastAsia" w:cstheme="minorEastAsia"/>
                <w:color w:val="000000" w:themeColor="text1"/>
                <w:sz w:val="24"/>
              </w:rPr>
            </w:pPr>
          </w:p>
        </w:tc>
        <w:tc>
          <w:tcPr>
            <w:tcW w:w="2409" w:type="dxa"/>
            <w:gridSpan w:val="3"/>
          </w:tcPr>
          <w:p>
            <w:pPr>
              <w:rPr>
                <w:rFonts w:asciiTheme="minorEastAsia" w:hAnsiTheme="minorEastAsia" w:eastAsiaTheme="minorEastAsia" w:cstheme="minorEastAsia"/>
                <w:color w:val="000000" w:themeColor="text1"/>
                <w:sz w:val="24"/>
              </w:rPr>
            </w:pPr>
          </w:p>
        </w:tc>
        <w:tc>
          <w:tcPr>
            <w:tcW w:w="1134" w:type="dxa"/>
          </w:tcPr>
          <w:p>
            <w:pPr>
              <w:rPr>
                <w:rFonts w:asciiTheme="minorEastAsia" w:hAnsiTheme="minorEastAsia" w:eastAsiaTheme="minorEastAsia" w:cstheme="minorEastAsia"/>
                <w:color w:val="000000" w:themeColor="text1"/>
                <w:sz w:val="24"/>
              </w:rPr>
            </w:pPr>
          </w:p>
        </w:tc>
        <w:tc>
          <w:tcPr>
            <w:tcW w:w="993" w:type="dxa"/>
            <w:gridSpan w:val="2"/>
          </w:tcPr>
          <w:p>
            <w:pPr>
              <w:rPr>
                <w:rFonts w:asciiTheme="minorEastAsia" w:hAnsiTheme="minorEastAsia" w:eastAsiaTheme="minorEastAsia" w:cstheme="minorEastAsia"/>
                <w:color w:val="000000" w:themeColor="text1"/>
                <w:sz w:val="24"/>
              </w:rPr>
            </w:pPr>
          </w:p>
        </w:tc>
        <w:tc>
          <w:tcPr>
            <w:tcW w:w="1176" w:type="dxa"/>
          </w:tcPr>
          <w:p>
            <w:pPr>
              <w:rPr>
                <w:rFonts w:asciiTheme="minorEastAsia" w:hAnsiTheme="minorEastAsia" w:eastAsiaTheme="minorEastAsia" w:cstheme="minorEastAsia"/>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67" w:type="dxa"/>
          </w:tcPr>
          <w:p>
            <w:pPr>
              <w:rPr>
                <w:rFonts w:asciiTheme="minorEastAsia" w:hAnsiTheme="minorEastAsia" w:eastAsiaTheme="minorEastAsia" w:cstheme="minorEastAsia"/>
                <w:color w:val="000000" w:themeColor="text1"/>
                <w:sz w:val="24"/>
              </w:rPr>
            </w:pPr>
          </w:p>
        </w:tc>
        <w:tc>
          <w:tcPr>
            <w:tcW w:w="1560" w:type="dxa"/>
            <w:gridSpan w:val="2"/>
          </w:tcPr>
          <w:p>
            <w:pPr>
              <w:rPr>
                <w:rFonts w:asciiTheme="minorEastAsia" w:hAnsiTheme="minorEastAsia" w:eastAsiaTheme="minorEastAsia" w:cstheme="minorEastAsia"/>
                <w:color w:val="000000" w:themeColor="text1"/>
                <w:sz w:val="24"/>
              </w:rPr>
            </w:pPr>
          </w:p>
        </w:tc>
        <w:tc>
          <w:tcPr>
            <w:tcW w:w="708" w:type="dxa"/>
          </w:tcPr>
          <w:p>
            <w:pPr>
              <w:rPr>
                <w:rFonts w:asciiTheme="minorEastAsia" w:hAnsiTheme="minorEastAsia" w:eastAsiaTheme="minorEastAsia" w:cstheme="minorEastAsia"/>
                <w:color w:val="000000" w:themeColor="text1"/>
                <w:sz w:val="24"/>
              </w:rPr>
            </w:pPr>
          </w:p>
        </w:tc>
        <w:tc>
          <w:tcPr>
            <w:tcW w:w="993" w:type="dxa"/>
            <w:gridSpan w:val="2"/>
          </w:tcPr>
          <w:p>
            <w:pPr>
              <w:rPr>
                <w:rFonts w:asciiTheme="minorEastAsia" w:hAnsiTheme="minorEastAsia" w:eastAsiaTheme="minorEastAsia" w:cstheme="minorEastAsia"/>
                <w:color w:val="000000" w:themeColor="text1"/>
                <w:sz w:val="24"/>
              </w:rPr>
            </w:pPr>
          </w:p>
        </w:tc>
        <w:tc>
          <w:tcPr>
            <w:tcW w:w="2409" w:type="dxa"/>
            <w:gridSpan w:val="3"/>
          </w:tcPr>
          <w:p>
            <w:pPr>
              <w:rPr>
                <w:rFonts w:asciiTheme="minorEastAsia" w:hAnsiTheme="minorEastAsia" w:eastAsiaTheme="minorEastAsia" w:cstheme="minorEastAsia"/>
                <w:color w:val="000000" w:themeColor="text1"/>
                <w:sz w:val="24"/>
              </w:rPr>
            </w:pPr>
          </w:p>
        </w:tc>
        <w:tc>
          <w:tcPr>
            <w:tcW w:w="1134" w:type="dxa"/>
          </w:tcPr>
          <w:p>
            <w:pPr>
              <w:rPr>
                <w:rFonts w:asciiTheme="minorEastAsia" w:hAnsiTheme="minorEastAsia" w:eastAsiaTheme="minorEastAsia" w:cstheme="minorEastAsia"/>
                <w:color w:val="000000" w:themeColor="text1"/>
                <w:sz w:val="24"/>
              </w:rPr>
            </w:pPr>
          </w:p>
        </w:tc>
        <w:tc>
          <w:tcPr>
            <w:tcW w:w="993" w:type="dxa"/>
            <w:gridSpan w:val="2"/>
          </w:tcPr>
          <w:p>
            <w:pPr>
              <w:rPr>
                <w:rFonts w:asciiTheme="minorEastAsia" w:hAnsiTheme="minorEastAsia" w:eastAsiaTheme="minorEastAsia" w:cstheme="minorEastAsia"/>
                <w:color w:val="000000" w:themeColor="text1"/>
                <w:sz w:val="24"/>
              </w:rPr>
            </w:pPr>
          </w:p>
        </w:tc>
        <w:tc>
          <w:tcPr>
            <w:tcW w:w="1176" w:type="dxa"/>
          </w:tcPr>
          <w:p>
            <w:pPr>
              <w:rPr>
                <w:rFonts w:asciiTheme="minorEastAsia" w:hAnsiTheme="minorEastAsia" w:eastAsiaTheme="minorEastAsia" w:cstheme="minorEastAsia"/>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67" w:type="dxa"/>
          </w:tcPr>
          <w:p>
            <w:pPr>
              <w:rPr>
                <w:rFonts w:asciiTheme="minorEastAsia" w:hAnsiTheme="minorEastAsia" w:eastAsiaTheme="minorEastAsia" w:cstheme="minorEastAsia"/>
                <w:color w:val="000000" w:themeColor="text1"/>
                <w:sz w:val="24"/>
              </w:rPr>
            </w:pPr>
          </w:p>
        </w:tc>
        <w:tc>
          <w:tcPr>
            <w:tcW w:w="1560" w:type="dxa"/>
            <w:gridSpan w:val="2"/>
          </w:tcPr>
          <w:p>
            <w:pPr>
              <w:rPr>
                <w:rFonts w:asciiTheme="minorEastAsia" w:hAnsiTheme="minorEastAsia" w:eastAsiaTheme="minorEastAsia" w:cstheme="minorEastAsia"/>
                <w:color w:val="000000" w:themeColor="text1"/>
                <w:sz w:val="24"/>
              </w:rPr>
            </w:pPr>
          </w:p>
        </w:tc>
        <w:tc>
          <w:tcPr>
            <w:tcW w:w="708" w:type="dxa"/>
          </w:tcPr>
          <w:p>
            <w:pPr>
              <w:rPr>
                <w:rFonts w:asciiTheme="minorEastAsia" w:hAnsiTheme="minorEastAsia" w:eastAsiaTheme="minorEastAsia" w:cstheme="minorEastAsia"/>
                <w:color w:val="000000" w:themeColor="text1"/>
                <w:sz w:val="24"/>
              </w:rPr>
            </w:pPr>
          </w:p>
        </w:tc>
        <w:tc>
          <w:tcPr>
            <w:tcW w:w="993" w:type="dxa"/>
            <w:gridSpan w:val="2"/>
          </w:tcPr>
          <w:p>
            <w:pPr>
              <w:rPr>
                <w:rFonts w:asciiTheme="minorEastAsia" w:hAnsiTheme="minorEastAsia" w:eastAsiaTheme="minorEastAsia" w:cstheme="minorEastAsia"/>
                <w:color w:val="000000" w:themeColor="text1"/>
                <w:sz w:val="24"/>
              </w:rPr>
            </w:pPr>
          </w:p>
        </w:tc>
        <w:tc>
          <w:tcPr>
            <w:tcW w:w="2409" w:type="dxa"/>
            <w:gridSpan w:val="3"/>
          </w:tcPr>
          <w:p>
            <w:pPr>
              <w:rPr>
                <w:rFonts w:asciiTheme="minorEastAsia" w:hAnsiTheme="minorEastAsia" w:eastAsiaTheme="minorEastAsia" w:cstheme="minorEastAsia"/>
                <w:color w:val="000000" w:themeColor="text1"/>
                <w:sz w:val="24"/>
              </w:rPr>
            </w:pPr>
          </w:p>
        </w:tc>
        <w:tc>
          <w:tcPr>
            <w:tcW w:w="1134" w:type="dxa"/>
          </w:tcPr>
          <w:p>
            <w:pPr>
              <w:rPr>
                <w:rFonts w:asciiTheme="minorEastAsia" w:hAnsiTheme="minorEastAsia" w:eastAsiaTheme="minorEastAsia" w:cstheme="minorEastAsia"/>
                <w:color w:val="000000" w:themeColor="text1"/>
                <w:sz w:val="24"/>
              </w:rPr>
            </w:pPr>
          </w:p>
        </w:tc>
        <w:tc>
          <w:tcPr>
            <w:tcW w:w="993" w:type="dxa"/>
            <w:gridSpan w:val="2"/>
          </w:tcPr>
          <w:p>
            <w:pPr>
              <w:rPr>
                <w:rFonts w:asciiTheme="minorEastAsia" w:hAnsiTheme="minorEastAsia" w:eastAsiaTheme="minorEastAsia" w:cstheme="minorEastAsia"/>
                <w:color w:val="000000" w:themeColor="text1"/>
                <w:sz w:val="24"/>
              </w:rPr>
            </w:pPr>
          </w:p>
        </w:tc>
        <w:tc>
          <w:tcPr>
            <w:tcW w:w="1176" w:type="dxa"/>
          </w:tcPr>
          <w:p>
            <w:pPr>
              <w:rPr>
                <w:rFonts w:asciiTheme="minorEastAsia" w:hAnsiTheme="minorEastAsia" w:eastAsiaTheme="minorEastAsia" w:cstheme="minorEastAsia"/>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4680" w:type="dxa"/>
            <w:gridSpan w:val="7"/>
          </w:tcPr>
          <w:p>
            <w:pPr>
              <w:ind w:left="2880" w:hanging="2880" w:hangingChars="1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 xml:space="preserve">供应商    </w:t>
            </w:r>
          </w:p>
          <w:p>
            <w:pPr>
              <w:ind w:left="2875" w:leftChars="855" w:hanging="1080" w:hangingChars="45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盖章</w:t>
            </w:r>
          </w:p>
          <w:p>
            <w:pPr>
              <w:ind w:left="2880" w:hanging="2880" w:hangingChars="1200"/>
              <w:rPr>
                <w:rFonts w:asciiTheme="minorEastAsia" w:hAnsiTheme="minorEastAsia" w:eastAsiaTheme="minorEastAsia" w:cstheme="minorEastAsia"/>
                <w:color w:val="000000" w:themeColor="text1"/>
                <w:sz w:val="24"/>
              </w:rPr>
            </w:pPr>
          </w:p>
          <w:p>
            <w:pPr>
              <w:ind w:firstLine="1800" w:firstLineChars="75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 xml:space="preserve">        </w:t>
            </w:r>
          </w:p>
        </w:tc>
        <w:tc>
          <w:tcPr>
            <w:tcW w:w="4860" w:type="dxa"/>
            <w:gridSpan w:val="6"/>
          </w:tcPr>
          <w:p>
            <w:pPr>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售后服务部</w:t>
            </w:r>
          </w:p>
          <w:p>
            <w:pPr>
              <w:spacing w:line="480" w:lineRule="auto"/>
              <w:rPr>
                <w:color w:val="000000" w:themeColor="text1"/>
                <w:sz w:val="24"/>
              </w:rPr>
            </w:pPr>
            <w:r>
              <w:rPr>
                <w:rFonts w:hint="eastAsia" w:asciiTheme="minorEastAsia" w:hAnsiTheme="minorEastAsia" w:eastAsiaTheme="minorEastAsia" w:cstheme="minorEastAsia"/>
                <w:color w:val="000000" w:themeColor="text1"/>
                <w:sz w:val="24"/>
              </w:rPr>
              <w:t xml:space="preserve"> 盖章：</w:t>
            </w:r>
            <w:r>
              <w:rPr>
                <w:color w:val="000000" w:themeColor="text1"/>
                <w:sz w:val="24"/>
              </w:rPr>
              <w:t xml:space="preserve"> </w:t>
            </w:r>
            <w:r>
              <w:rPr>
                <w:rFonts w:hint="eastAsia"/>
                <w:color w:val="FF0000"/>
                <w:sz w:val="24"/>
                <w:u w:val="single"/>
              </w:rPr>
              <w:t>河北光华荣汽车部件有限公司</w:t>
            </w:r>
          </w:p>
          <w:p>
            <w:pPr>
              <w:rPr>
                <w:rFonts w:asciiTheme="minorEastAsia" w:hAnsiTheme="minorEastAsia" w:eastAsiaTheme="minorEastAsia" w:cstheme="minorEastAsia"/>
                <w:color w:val="000000" w:themeColor="text1"/>
                <w:sz w:val="24"/>
              </w:rPr>
            </w:pPr>
          </w:p>
          <w:p>
            <w:pPr>
              <w:ind w:firstLine="2040" w:firstLineChars="85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 xml:space="preserve">签字：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6" w:hRule="atLeast"/>
        </w:trPr>
        <w:tc>
          <w:tcPr>
            <w:tcW w:w="9540" w:type="dxa"/>
            <w:gridSpan w:val="13"/>
          </w:tcPr>
          <w:p>
            <w:pPr>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说明：</w:t>
            </w:r>
          </w:p>
          <w:p>
            <w:pPr>
              <w:numPr>
                <w:ilvl w:val="0"/>
                <w:numId w:val="8"/>
              </w:numPr>
              <w:ind w:hanging="468"/>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请认真填写信息确保准确无误，因信息不准确带来的损失由供方全部承担。</w:t>
            </w:r>
          </w:p>
          <w:p>
            <w:pPr>
              <w:numPr>
                <w:ilvl w:val="0"/>
                <w:numId w:val="8"/>
              </w:numPr>
              <w:ind w:hanging="468"/>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须供方单位盖章，服务部留档。</w:t>
            </w:r>
          </w:p>
          <w:p>
            <w:pPr>
              <w:numPr>
                <w:ilvl w:val="0"/>
                <w:numId w:val="8"/>
              </w:numPr>
              <w:ind w:hanging="468"/>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如配套产品供货状态有变化，请重新填写此表，并说明原因及时反馈。</w:t>
            </w:r>
          </w:p>
          <w:p>
            <w:pPr>
              <w:ind w:left="720"/>
              <w:rPr>
                <w:rFonts w:asciiTheme="minorEastAsia" w:hAnsiTheme="minorEastAsia" w:eastAsiaTheme="minorEastAsia" w:cstheme="minorEastAsia"/>
                <w:color w:val="000000" w:themeColor="text1"/>
                <w:sz w:val="24"/>
              </w:rPr>
            </w:pPr>
          </w:p>
          <w:p>
            <w:pPr>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返回的详细地址：</w:t>
            </w:r>
          </w:p>
          <w:p>
            <w:pPr>
              <w:ind w:firstLine="288" w:firstLineChars="12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需方   售后服务中心                 邮    编：200444</w:t>
            </w:r>
          </w:p>
          <w:p>
            <w:pPr>
              <w:ind w:firstLine="288" w:firstLineChars="12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联系人：                            联系电话： （021-36160009）</w:t>
            </w:r>
          </w:p>
          <w:p>
            <w:pPr>
              <w:ind w:firstLine="288" w:firstLineChars="12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传真：021-36160007</w:t>
            </w:r>
          </w:p>
        </w:tc>
      </w:tr>
    </w:tbl>
    <w:p>
      <w:pPr>
        <w:ind w:left="420"/>
        <w:rPr>
          <w:color w:val="000000" w:themeColor="text1"/>
          <w:sz w:val="28"/>
          <w:szCs w:val="28"/>
        </w:rPr>
      </w:pPr>
    </w:p>
    <w:p>
      <w:pPr>
        <w:rPr>
          <w:rFonts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b/>
          <w:bCs/>
          <w:color w:val="000000" w:themeColor="text1"/>
          <w:sz w:val="28"/>
          <w:szCs w:val="28"/>
        </w:rPr>
        <w:t>附件3.3 ：汽车配件包装规格</w:t>
      </w:r>
      <w:r>
        <w:rPr>
          <w:rFonts w:hint="eastAsia" w:asciiTheme="minorEastAsia" w:hAnsiTheme="minorEastAsia" w:eastAsiaTheme="minorEastAsia" w:cstheme="minorEastAsia"/>
          <w:b/>
          <w:color w:val="000000" w:themeColor="text1"/>
          <w:sz w:val="28"/>
          <w:szCs w:val="28"/>
        </w:rPr>
        <w:t>(塑料袋)</w:t>
      </w:r>
    </w:p>
    <w:p>
      <w:pPr>
        <w:rPr>
          <w:b/>
          <w:bCs/>
          <w:color w:val="000000" w:themeColor="text1"/>
          <w:sz w:val="28"/>
          <w:szCs w:val="28"/>
        </w:rPr>
      </w:pPr>
    </w:p>
    <w:p>
      <w:pPr>
        <w:numPr>
          <w:ilvl w:val="0"/>
          <w:numId w:val="9"/>
        </w:numPr>
        <w:rPr>
          <w:color w:val="000000" w:themeColor="text1"/>
          <w:sz w:val="28"/>
          <w:szCs w:val="28"/>
        </w:rPr>
      </w:pPr>
      <w:r>
        <w:rPr>
          <w:rFonts w:hint="eastAsia"/>
          <w:b/>
          <w:bCs/>
          <w:color w:val="000000" w:themeColor="text1"/>
          <w:sz w:val="28"/>
          <w:szCs w:val="28"/>
        </w:rPr>
        <w:t>塑料袋尺寸规格</w:t>
      </w:r>
      <w:r>
        <w:rPr>
          <w:rFonts w:hint="eastAsia"/>
          <w:color w:val="000000" w:themeColor="text1"/>
          <w:sz w:val="28"/>
          <w:szCs w:val="28"/>
        </w:rPr>
        <w:t>（参考）</w:t>
      </w:r>
    </w:p>
    <w:p>
      <w:pPr>
        <w:numPr>
          <w:ilvl w:val="1"/>
          <w:numId w:val="9"/>
        </w:numPr>
        <w:rPr>
          <w:color w:val="000000" w:themeColor="text1"/>
          <w:sz w:val="28"/>
          <w:szCs w:val="28"/>
        </w:rPr>
      </w:pPr>
      <w:r>
        <w:rPr>
          <w:rFonts w:hint="eastAsia"/>
          <w:color w:val="000000" w:themeColor="text1"/>
          <w:sz w:val="28"/>
          <w:szCs w:val="28"/>
        </w:rPr>
        <w:t>规格1：长21*宽12</w:t>
      </w:r>
    </w:p>
    <w:p>
      <w:pPr>
        <w:numPr>
          <w:ilvl w:val="1"/>
          <w:numId w:val="9"/>
        </w:numPr>
        <w:rPr>
          <w:color w:val="000000" w:themeColor="text1"/>
          <w:sz w:val="28"/>
          <w:szCs w:val="28"/>
        </w:rPr>
      </w:pPr>
      <w:r>
        <w:rPr>
          <w:rFonts w:hint="eastAsia"/>
          <w:color w:val="000000" w:themeColor="text1"/>
          <w:sz w:val="28"/>
          <w:szCs w:val="28"/>
        </w:rPr>
        <w:t>规格2：长30*宽18</w:t>
      </w:r>
    </w:p>
    <w:p>
      <w:pPr>
        <w:numPr>
          <w:ilvl w:val="1"/>
          <w:numId w:val="9"/>
        </w:numPr>
        <w:rPr>
          <w:color w:val="000000" w:themeColor="text1"/>
          <w:sz w:val="28"/>
          <w:szCs w:val="28"/>
        </w:rPr>
      </w:pPr>
      <w:r>
        <w:rPr>
          <w:rFonts w:hint="eastAsia"/>
          <w:color w:val="000000" w:themeColor="text1"/>
          <w:sz w:val="28"/>
          <w:szCs w:val="28"/>
        </w:rPr>
        <w:t>规格3：长55*宽40</w:t>
      </w:r>
    </w:p>
    <w:p>
      <w:pPr>
        <w:ind w:left="420"/>
        <w:rPr>
          <w:color w:val="000000" w:themeColor="text1"/>
          <w:sz w:val="28"/>
          <w:szCs w:val="28"/>
        </w:rPr>
      </w:pPr>
    </w:p>
    <w:p>
      <w:pPr>
        <w:numPr>
          <w:ilvl w:val="2"/>
          <w:numId w:val="9"/>
        </w:numPr>
        <w:tabs>
          <w:tab w:val="clear" w:pos="1260"/>
        </w:tabs>
        <w:ind w:left="720" w:hanging="720"/>
        <w:rPr>
          <w:b/>
          <w:bCs/>
          <w:color w:val="000000" w:themeColor="text1"/>
          <w:sz w:val="28"/>
          <w:szCs w:val="28"/>
        </w:rPr>
      </w:pPr>
      <w:r>
        <w:rPr>
          <w:rFonts w:hint="eastAsia"/>
          <w:b/>
          <w:bCs/>
          <w:color w:val="000000" w:themeColor="text1"/>
          <w:sz w:val="28"/>
          <w:szCs w:val="28"/>
        </w:rPr>
        <w:t>塑料袋印刷内容</w:t>
      </w:r>
    </w:p>
    <w:p>
      <w:pPr>
        <w:numPr>
          <w:ilvl w:val="3"/>
          <w:numId w:val="9"/>
        </w:numPr>
        <w:tabs>
          <w:tab w:val="clear" w:pos="1680"/>
        </w:tabs>
        <w:ind w:hanging="1320"/>
        <w:rPr>
          <w:color w:val="000000" w:themeColor="text1"/>
          <w:sz w:val="28"/>
          <w:szCs w:val="28"/>
        </w:rPr>
      </w:pPr>
      <w:r>
        <w:rPr>
          <w:rFonts w:hint="eastAsia"/>
          <w:color w:val="000000" w:themeColor="text1"/>
          <w:sz w:val="28"/>
          <w:szCs w:val="28"/>
        </w:rPr>
        <w:t>塑料袋正面</w:t>
      </w:r>
    </w:p>
    <w:p>
      <w:pPr>
        <w:ind w:left="360"/>
        <w:rPr>
          <w:color w:val="000000" w:themeColor="text1"/>
          <w:sz w:val="28"/>
          <w:szCs w:val="28"/>
        </w:rPr>
      </w:pPr>
      <w:r>
        <w:rPr>
          <w:color w:val="000000" w:themeColor="text1"/>
          <w:sz w:val="28"/>
          <w:szCs w:val="28"/>
          <w:lang w:bidi="ar-SA"/>
        </w:rPr>
        <w:pict>
          <v:shape id="流程图: 过程 6" o:spid="_x0000_s1026" o:spt="109" type="#_x0000_t109" style="position:absolute;left:0pt;margin-left:126pt;margin-top:0pt;height:93.6pt;width:189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">
            <v:path/>
            <v:fill focussize="0,0"/>
            <v:stroke joinstyle="miter"/>
            <v:imagedata o:title=""/>
            <o:lock v:ext="edit"/>
            <v:textbox>
              <w:txbxContent>
                <w:p>
                  <w:pPr>
                    <w:rPr>
                      <w:b/>
                      <w:bCs/>
                    </w:rPr>
                  </w:pPr>
                </w:p>
                <w:p>
                  <w:pPr>
                    <w:ind w:firstLine="1476" w:firstLineChars="700"/>
                    <w:rPr>
                      <w:b/>
                      <w:bCs/>
                    </w:rPr>
                  </w:pPr>
                  <w:r>
                    <w:rPr>
                      <w:rFonts w:hint="eastAsia"/>
                      <w:b/>
                      <w:bCs/>
                    </w:rPr>
                    <w:t>一汽凌河</w:t>
                  </w:r>
                </w:p>
                <w:p>
                  <w:pPr>
                    <w:rPr>
                      <w:b/>
                      <w:bCs/>
                    </w:rPr>
                  </w:pPr>
                </w:p>
                <w:p>
                  <w:pPr>
                    <w:ind w:firstLine="964" w:firstLineChars="300"/>
                    <w:rPr>
                      <w:b/>
                      <w:bCs/>
                      <w:sz w:val="32"/>
                    </w:rPr>
                  </w:pPr>
                  <w:r>
                    <w:rPr>
                      <w:rFonts w:hint="eastAsia"/>
                      <w:b/>
                      <w:bCs/>
                      <w:sz w:val="32"/>
                    </w:rPr>
                    <w:t>售后专用配件</w:t>
                  </w:r>
                </w:p>
              </w:txbxContent>
            </v:textbox>
          </v:shape>
        </w:pict>
      </w:r>
    </w:p>
    <w:p>
      <w:pPr>
        <w:ind w:left="360"/>
        <w:rPr>
          <w:color w:val="000000" w:themeColor="text1"/>
          <w:sz w:val="28"/>
          <w:szCs w:val="28"/>
        </w:rPr>
      </w:pPr>
    </w:p>
    <w:p>
      <w:pPr>
        <w:ind w:left="360"/>
        <w:rPr>
          <w:color w:val="000000" w:themeColor="text1"/>
          <w:sz w:val="28"/>
          <w:szCs w:val="28"/>
        </w:rPr>
      </w:pPr>
    </w:p>
    <w:p>
      <w:pPr>
        <w:ind w:left="360"/>
        <w:rPr>
          <w:color w:val="000000" w:themeColor="text1"/>
          <w:sz w:val="28"/>
          <w:szCs w:val="28"/>
        </w:rPr>
      </w:pPr>
    </w:p>
    <w:p>
      <w:pPr>
        <w:numPr>
          <w:ilvl w:val="3"/>
          <w:numId w:val="9"/>
        </w:numPr>
        <w:tabs>
          <w:tab w:val="left" w:pos="900"/>
          <w:tab w:val="clear" w:pos="1680"/>
        </w:tabs>
        <w:ind w:hanging="1320"/>
        <w:rPr>
          <w:color w:val="000000" w:themeColor="text1"/>
          <w:sz w:val="28"/>
          <w:szCs w:val="28"/>
        </w:rPr>
      </w:pPr>
      <w:r>
        <w:rPr>
          <w:rFonts w:hint="eastAsia"/>
          <w:color w:val="000000" w:themeColor="text1"/>
          <w:sz w:val="28"/>
          <w:szCs w:val="28"/>
        </w:rPr>
        <w:t>塑料袋反面</w:t>
      </w:r>
    </w:p>
    <w:p>
      <w:pPr>
        <w:rPr>
          <w:color w:val="000000" w:themeColor="text1"/>
          <w:sz w:val="28"/>
          <w:szCs w:val="28"/>
        </w:rPr>
      </w:pPr>
      <w:r>
        <w:rPr>
          <w:color w:val="000000" w:themeColor="text1"/>
          <w:sz w:val="28"/>
          <w:szCs w:val="28"/>
          <w:lang w:bidi="ar-SA"/>
        </w:rPr>
        <w:pict>
          <v:shape id="流程图: 过程 5" o:spid="_x0000_s1027" o:spt="109" type="#_x0000_t109" style="position:absolute;left:0pt;margin-left:126pt;margin-top:0pt;height:109.2pt;width:189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">
            <v:path/>
            <v:fill focussize="0,0"/>
            <v:stroke joinstyle="miter"/>
            <v:imagedata o:title=""/>
            <o:lock v:ext="edit"/>
            <v:textbox>
              <w:txbxContent>
                <w:p>
                  <w:pPr>
                    <w:jc w:val="center"/>
                    <w:rPr>
                      <w:b/>
                      <w:bCs/>
                      <w:sz w:val="32"/>
                    </w:rPr>
                  </w:pPr>
                  <w:r>
                    <w:rPr>
                      <w:rFonts w:hint="eastAsia"/>
                      <w:b/>
                      <w:bCs/>
                      <w:sz w:val="32"/>
                    </w:rPr>
                    <w:t>配件名称</w:t>
                  </w:r>
                </w:p>
                <w:p>
                  <w:pPr>
                    <w:jc w:val="center"/>
                  </w:pPr>
                </w:p>
                <w:p>
                  <w:pPr>
                    <w:rPr>
                      <w:sz w:val="18"/>
                    </w:rPr>
                  </w:pPr>
                  <w:r>
                    <w:rPr>
                      <w:rFonts w:hint="eastAsia"/>
                      <w:sz w:val="18"/>
                    </w:rPr>
                    <w:t>mm×mm×mm</w:t>
                  </w:r>
                </w:p>
                <w:p>
                  <w:pPr>
                    <w:rPr>
                      <w:sz w:val="18"/>
                    </w:rPr>
                  </w:pPr>
                  <w:r>
                    <w:rPr>
                      <w:rFonts w:hint="eastAsia"/>
                      <w:sz w:val="18"/>
                    </w:rPr>
                    <w:t>数量</w:t>
                  </w:r>
                </w:p>
                <w:p>
                  <w:pPr>
                    <w:rPr>
                      <w:sz w:val="18"/>
                    </w:rPr>
                  </w:pPr>
                  <w:r>
                    <w:rPr>
                      <w:rFonts w:hint="eastAsia"/>
                      <w:sz w:val="18"/>
                    </w:rPr>
                    <w:t>零部件号：</w:t>
                  </w:r>
                </w:p>
              </w:txbxContent>
            </v:textbox>
          </v:shape>
        </w:pict>
      </w:r>
    </w:p>
    <w:p>
      <w:pPr>
        <w:rPr>
          <w:color w:val="000000" w:themeColor="text1"/>
          <w:sz w:val="28"/>
          <w:szCs w:val="28"/>
        </w:rPr>
      </w:pPr>
    </w:p>
    <w:p>
      <w:pPr>
        <w:rPr>
          <w:color w:val="000000" w:themeColor="text1"/>
          <w:sz w:val="28"/>
          <w:szCs w:val="28"/>
        </w:rPr>
      </w:pPr>
    </w:p>
    <w:p>
      <w:pPr>
        <w:rPr>
          <w:color w:val="000000" w:themeColor="text1"/>
          <w:sz w:val="28"/>
          <w:szCs w:val="28"/>
        </w:rPr>
      </w:pPr>
    </w:p>
    <w:p>
      <w:pPr>
        <w:numPr>
          <w:ilvl w:val="4"/>
          <w:numId w:val="9"/>
        </w:numPr>
        <w:tabs>
          <w:tab w:val="left" w:pos="540"/>
          <w:tab w:val="clear" w:pos="2100"/>
        </w:tabs>
        <w:ind w:hanging="2100"/>
        <w:rPr>
          <w:color w:val="000000" w:themeColor="text1"/>
          <w:sz w:val="28"/>
          <w:szCs w:val="28"/>
        </w:rPr>
      </w:pPr>
      <w:r>
        <w:rPr>
          <w:rFonts w:hint="eastAsia"/>
          <w:b/>
          <w:bCs/>
          <w:color w:val="000000" w:themeColor="text1"/>
          <w:sz w:val="28"/>
          <w:szCs w:val="28"/>
        </w:rPr>
        <w:t>塑料袋材料规格</w:t>
      </w:r>
      <w:r>
        <w:rPr>
          <w:rFonts w:hint="eastAsia"/>
          <w:color w:val="000000" w:themeColor="text1"/>
          <w:sz w:val="28"/>
          <w:szCs w:val="28"/>
        </w:rPr>
        <w:t>（参考）</w:t>
      </w:r>
    </w:p>
    <w:p>
      <w:pPr>
        <w:numPr>
          <w:ilvl w:val="5"/>
          <w:numId w:val="9"/>
        </w:numPr>
        <w:tabs>
          <w:tab w:val="left" w:pos="900"/>
          <w:tab w:val="clear" w:pos="2520"/>
        </w:tabs>
        <w:ind w:hanging="2100"/>
        <w:rPr>
          <w:color w:val="000000" w:themeColor="text1"/>
          <w:sz w:val="28"/>
          <w:szCs w:val="28"/>
        </w:rPr>
      </w:pPr>
      <w:r>
        <w:rPr>
          <w:rFonts w:hint="eastAsia"/>
          <w:color w:val="000000" w:themeColor="text1"/>
          <w:sz w:val="28"/>
          <w:szCs w:val="28"/>
        </w:rPr>
        <w:t>材料名称：高压聚乙烯</w:t>
      </w:r>
    </w:p>
    <w:p>
      <w:pPr>
        <w:numPr>
          <w:ilvl w:val="5"/>
          <w:numId w:val="9"/>
        </w:numPr>
        <w:tabs>
          <w:tab w:val="left" w:pos="900"/>
          <w:tab w:val="clear" w:pos="2520"/>
        </w:tabs>
        <w:ind w:hanging="2100"/>
        <w:rPr>
          <w:color w:val="000000" w:themeColor="text1"/>
          <w:sz w:val="28"/>
          <w:szCs w:val="28"/>
        </w:rPr>
      </w:pPr>
      <w:r>
        <w:rPr>
          <w:rFonts w:hint="eastAsia"/>
          <w:color w:val="000000" w:themeColor="text1"/>
          <w:sz w:val="28"/>
          <w:szCs w:val="28"/>
        </w:rPr>
        <w:t>材料厚度：6丝</w:t>
      </w:r>
    </w:p>
    <w:p>
      <w:pPr>
        <w:rPr>
          <w:rFonts w:asciiTheme="minorEastAsia" w:hAnsiTheme="minorEastAsia" w:eastAsiaTheme="minorEastAsia" w:cstheme="minorEastAsia"/>
          <w:b/>
          <w:bCs/>
          <w:color w:val="000000" w:themeColor="text1"/>
          <w:sz w:val="28"/>
          <w:szCs w:val="28"/>
        </w:rPr>
      </w:pPr>
      <w:r>
        <w:rPr>
          <w:rFonts w:hint="eastAsia" w:asciiTheme="minorEastAsia" w:hAnsiTheme="minorEastAsia" w:eastAsiaTheme="minorEastAsia" w:cstheme="minorEastAsia"/>
          <w:b/>
          <w:bCs/>
          <w:color w:val="000000" w:themeColor="text1"/>
          <w:sz w:val="28"/>
          <w:szCs w:val="28"/>
        </w:rPr>
        <w:t>附件3.4 ：汽车配件包装规格</w:t>
      </w:r>
      <w:r>
        <w:rPr>
          <w:rFonts w:hint="eastAsia" w:asciiTheme="minorEastAsia" w:hAnsiTheme="minorEastAsia" w:eastAsiaTheme="minorEastAsia" w:cstheme="minorEastAsia"/>
          <w:b/>
          <w:color w:val="000000" w:themeColor="text1"/>
          <w:sz w:val="28"/>
          <w:szCs w:val="28"/>
        </w:rPr>
        <w:t>(纸板箱)</w:t>
      </w:r>
    </w:p>
    <w:p>
      <w:pPr>
        <w:numPr>
          <w:ilvl w:val="4"/>
          <w:numId w:val="9"/>
        </w:numPr>
        <w:tabs>
          <w:tab w:val="left" w:pos="540"/>
          <w:tab w:val="clear" w:pos="2100"/>
        </w:tabs>
        <w:ind w:hanging="2100"/>
        <w:rPr>
          <w:rFonts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b/>
          <w:bCs/>
          <w:color w:val="000000" w:themeColor="text1"/>
          <w:sz w:val="28"/>
          <w:szCs w:val="28"/>
        </w:rPr>
        <w:t>纸板箱尺寸规格</w:t>
      </w:r>
      <w:r>
        <w:rPr>
          <w:rFonts w:hint="eastAsia" w:asciiTheme="minorEastAsia" w:hAnsiTheme="minorEastAsia" w:eastAsiaTheme="minorEastAsia" w:cstheme="minorEastAsia"/>
          <w:color w:val="000000" w:themeColor="text1"/>
          <w:sz w:val="28"/>
          <w:szCs w:val="28"/>
        </w:rPr>
        <w:t>（参考）</w:t>
      </w:r>
    </w:p>
    <w:p>
      <w:pPr>
        <w:numPr>
          <w:ilvl w:val="4"/>
          <w:numId w:val="10"/>
        </w:numPr>
        <w:tabs>
          <w:tab w:val="left" w:pos="720"/>
          <w:tab w:val="clear" w:pos="2100"/>
        </w:tabs>
        <w:ind w:left="540" w:hanging="180"/>
        <w:rPr>
          <w:rFonts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规格1：长20*宽20*高20</w:t>
      </w:r>
    </w:p>
    <w:p>
      <w:pPr>
        <w:numPr>
          <w:ilvl w:val="4"/>
          <w:numId w:val="10"/>
        </w:numPr>
        <w:tabs>
          <w:tab w:val="left" w:pos="720"/>
          <w:tab w:val="left" w:pos="900"/>
          <w:tab w:val="clear" w:pos="2100"/>
        </w:tabs>
        <w:ind w:left="540" w:hanging="180"/>
        <w:rPr>
          <w:rFonts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规格2：长30*宽25*高25</w:t>
      </w:r>
    </w:p>
    <w:p>
      <w:pPr>
        <w:numPr>
          <w:ilvl w:val="4"/>
          <w:numId w:val="10"/>
        </w:numPr>
        <w:tabs>
          <w:tab w:val="left" w:pos="720"/>
          <w:tab w:val="left" w:pos="900"/>
          <w:tab w:val="clear" w:pos="2100"/>
        </w:tabs>
        <w:ind w:left="540" w:hanging="180"/>
        <w:rPr>
          <w:rFonts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规格3：长55*宽38*高30</w:t>
      </w:r>
    </w:p>
    <w:p>
      <w:pPr>
        <w:numPr>
          <w:ilvl w:val="4"/>
          <w:numId w:val="9"/>
        </w:numPr>
        <w:tabs>
          <w:tab w:val="left" w:pos="540"/>
          <w:tab w:val="clear" w:pos="2100"/>
        </w:tabs>
        <w:ind w:hanging="2100"/>
        <w:rPr>
          <w:rFonts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纸板箱印刷内容</w:t>
      </w:r>
    </w:p>
    <w:p>
      <w:pPr>
        <w:numPr>
          <w:ilvl w:val="0"/>
          <w:numId w:val="11"/>
        </w:numPr>
        <w:tabs>
          <w:tab w:val="left" w:pos="900"/>
        </w:tabs>
        <w:ind w:hanging="60"/>
        <w:rPr>
          <w:rFonts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纸板箱正面</w:t>
      </w:r>
    </w:p>
    <w:p>
      <w:pPr>
        <w:tabs>
          <w:tab w:val="left" w:pos="900"/>
        </w:tabs>
        <w:ind w:left="360"/>
        <w:rPr>
          <w:rFonts w:asciiTheme="minorEastAsia" w:hAnsiTheme="minorEastAsia" w:eastAsiaTheme="minorEastAsia" w:cstheme="minorEastAsia"/>
          <w:color w:val="000000" w:themeColor="text1"/>
          <w:sz w:val="28"/>
          <w:szCs w:val="28"/>
        </w:rPr>
      </w:pPr>
      <w:r>
        <w:rPr>
          <w:rFonts w:asciiTheme="minorEastAsia" w:hAnsiTheme="minorEastAsia" w:eastAsiaTheme="minorEastAsia" w:cstheme="minorEastAsia"/>
          <w:color w:val="000000" w:themeColor="text1"/>
          <w:sz w:val="28"/>
          <w:szCs w:val="28"/>
          <w:lang w:bidi="ar-SA"/>
        </w:rPr>
        <w:pict>
          <v:shape id="立方体 3" o:spid="_x0000_s1028" o:spt="16" type="#_x0000_t16" style="position:absolute;left:0pt;margin-left:126pt;margin-top:0pt;height:102.7pt;width:175.5pt;z-index:2516613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" adj="3785">
            <v:path/>
            <v:fill focussize="0,0"/>
            <v:stroke joinstyle="miter"/>
            <v:imagedata o:title=""/>
            <o:lock v:ext="edit"/>
            <v:textbox>
              <w:txbxContent>
                <w:p>
                  <w:pPr>
                    <w:ind w:firstLine="630" w:firstLineChars="300"/>
                  </w:pPr>
                </w:p>
                <w:p>
                  <w:r>
                    <w:rPr>
                      <w:rFonts w:hint="eastAsia"/>
                    </w:rPr>
                    <w:t xml:space="preserve">           一汽凌河</w:t>
                  </w:r>
                </w:p>
                <w:p>
                  <w:pPr>
                    <w:ind w:firstLine="964" w:firstLineChars="300"/>
                  </w:pPr>
                  <w:r>
                    <w:rPr>
                      <w:rFonts w:hint="eastAsia"/>
                      <w:b/>
                      <w:bCs/>
                      <w:sz w:val="32"/>
                    </w:rPr>
                    <w:t>专用配件</w:t>
                  </w:r>
                </w:p>
              </w:txbxContent>
            </v:textbox>
          </v:shape>
        </w:pict>
      </w:r>
    </w:p>
    <w:p>
      <w:pPr>
        <w:tabs>
          <w:tab w:val="left" w:pos="900"/>
        </w:tabs>
        <w:ind w:left="360"/>
        <w:rPr>
          <w:rFonts w:asciiTheme="minorEastAsia" w:hAnsiTheme="minorEastAsia" w:eastAsiaTheme="minorEastAsia" w:cstheme="minorEastAsia"/>
          <w:color w:val="000000" w:themeColor="text1"/>
          <w:sz w:val="28"/>
          <w:szCs w:val="28"/>
        </w:rPr>
      </w:pPr>
    </w:p>
    <w:p>
      <w:pPr>
        <w:tabs>
          <w:tab w:val="left" w:pos="900"/>
        </w:tabs>
        <w:rPr>
          <w:rFonts w:asciiTheme="minorEastAsia" w:hAnsiTheme="minorEastAsia" w:eastAsiaTheme="minorEastAsia" w:cstheme="minorEastAsia"/>
          <w:color w:val="000000" w:themeColor="text1"/>
          <w:sz w:val="28"/>
          <w:szCs w:val="28"/>
        </w:rPr>
      </w:pPr>
    </w:p>
    <w:p>
      <w:pPr>
        <w:tabs>
          <w:tab w:val="left" w:pos="900"/>
        </w:tabs>
        <w:rPr>
          <w:rFonts w:asciiTheme="minorEastAsia" w:hAnsiTheme="minorEastAsia" w:eastAsiaTheme="minorEastAsia" w:cstheme="minorEastAsia"/>
          <w:color w:val="000000" w:themeColor="text1"/>
          <w:sz w:val="28"/>
          <w:szCs w:val="28"/>
        </w:rPr>
      </w:pPr>
    </w:p>
    <w:p>
      <w:pPr>
        <w:numPr>
          <w:ilvl w:val="0"/>
          <w:numId w:val="11"/>
        </w:numPr>
        <w:tabs>
          <w:tab w:val="left" w:pos="900"/>
        </w:tabs>
        <w:ind w:hanging="60"/>
        <w:rPr>
          <w:rFonts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纸板箱反面</w:t>
      </w:r>
    </w:p>
    <w:p>
      <w:pPr>
        <w:tabs>
          <w:tab w:val="left" w:pos="900"/>
        </w:tabs>
        <w:rPr>
          <w:rFonts w:asciiTheme="minorEastAsia" w:hAnsiTheme="minorEastAsia" w:eastAsiaTheme="minorEastAsia" w:cstheme="minorEastAsia"/>
          <w:color w:val="000000" w:themeColor="text1"/>
          <w:sz w:val="28"/>
          <w:szCs w:val="28"/>
        </w:rPr>
      </w:pPr>
      <w:r>
        <w:rPr>
          <w:rFonts w:asciiTheme="minorEastAsia" w:hAnsiTheme="minorEastAsia" w:eastAsiaTheme="minorEastAsia" w:cstheme="minorEastAsia"/>
          <w:color w:val="000000" w:themeColor="text1"/>
          <w:sz w:val="28"/>
          <w:szCs w:val="28"/>
          <w:lang w:bidi="ar-SA"/>
        </w:rPr>
        <w:pict>
          <v:shape id="立方体 2" o:spid="_x0000_s1029" o:spt="16" type="#_x0000_t16" style="position:absolute;left:0pt;margin-left:126pt;margin-top:0pt;height:102.25pt;width:175.5pt;z-index:25166233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" adj="3785">
            <v:path/>
            <v:fill focussize="0,0"/>
            <v:stroke joinstyle="miter"/>
            <v:imagedata o:title=""/>
            <o:lock v:ext="edit"/>
            <v:textbox>
              <w:txbxContent>
                <w:p>
                  <w:pPr>
                    <w:jc w:val="center"/>
                    <w:rPr>
                      <w:b/>
                      <w:bCs/>
                      <w:sz w:val="32"/>
                    </w:rPr>
                  </w:pPr>
                  <w:r>
                    <w:rPr>
                      <w:rFonts w:hint="eastAsia"/>
                      <w:b/>
                      <w:bCs/>
                      <w:sz w:val="32"/>
                    </w:rPr>
                    <w:t xml:space="preserve">配件名称  </w:t>
                  </w:r>
                </w:p>
                <w:p>
                  <w:pPr>
                    <w:jc w:val="center"/>
                    <w:rPr>
                      <w:b/>
                      <w:bCs/>
                    </w:rPr>
                  </w:pPr>
                </w:p>
                <w:p>
                  <w:pPr>
                    <w:jc w:val="center"/>
                    <w:rPr>
                      <w:b/>
                      <w:bCs/>
                    </w:rPr>
                  </w:pPr>
                </w:p>
                <w:p>
                  <w:pPr>
                    <w:rPr>
                      <w:sz w:val="18"/>
                    </w:rPr>
                  </w:pPr>
                  <w:r>
                    <w:rPr>
                      <w:rFonts w:hint="eastAsia"/>
                      <w:sz w:val="18"/>
                    </w:rPr>
                    <w:t>mm×mm×mm</w:t>
                  </w:r>
                </w:p>
                <w:p>
                  <w:pPr>
                    <w:rPr>
                      <w:sz w:val="18"/>
                    </w:rPr>
                  </w:pPr>
                  <w:r>
                    <w:rPr>
                      <w:rFonts w:hint="eastAsia"/>
                      <w:sz w:val="18"/>
                    </w:rPr>
                    <w:t>数量</w:t>
                  </w:r>
                </w:p>
                <w:p>
                  <w:r>
                    <w:rPr>
                      <w:rFonts w:hint="eastAsia"/>
                      <w:sz w:val="18"/>
                    </w:rPr>
                    <w:t>零部件号：</w:t>
                  </w:r>
                </w:p>
              </w:txbxContent>
            </v:textbox>
          </v:shape>
        </w:pict>
      </w:r>
    </w:p>
    <w:p>
      <w:pPr>
        <w:tabs>
          <w:tab w:val="left" w:pos="900"/>
        </w:tabs>
        <w:rPr>
          <w:rFonts w:asciiTheme="minorEastAsia" w:hAnsiTheme="minorEastAsia" w:eastAsiaTheme="minorEastAsia" w:cstheme="minorEastAsia"/>
          <w:color w:val="000000" w:themeColor="text1"/>
          <w:sz w:val="28"/>
          <w:szCs w:val="28"/>
        </w:rPr>
      </w:pPr>
    </w:p>
    <w:p>
      <w:pPr>
        <w:tabs>
          <w:tab w:val="left" w:pos="900"/>
        </w:tabs>
        <w:rPr>
          <w:rFonts w:asciiTheme="minorEastAsia" w:hAnsiTheme="minorEastAsia" w:eastAsiaTheme="minorEastAsia" w:cstheme="minorEastAsia"/>
          <w:color w:val="000000" w:themeColor="text1"/>
          <w:sz w:val="28"/>
          <w:szCs w:val="28"/>
        </w:rPr>
      </w:pPr>
    </w:p>
    <w:p>
      <w:pPr>
        <w:tabs>
          <w:tab w:val="left" w:pos="900"/>
        </w:tabs>
        <w:rPr>
          <w:rFonts w:asciiTheme="minorEastAsia" w:hAnsiTheme="minorEastAsia" w:eastAsiaTheme="minorEastAsia" w:cstheme="minorEastAsia"/>
          <w:color w:val="000000" w:themeColor="text1"/>
          <w:sz w:val="28"/>
          <w:szCs w:val="28"/>
        </w:rPr>
      </w:pPr>
    </w:p>
    <w:p>
      <w:pPr>
        <w:numPr>
          <w:ilvl w:val="0"/>
          <w:numId w:val="11"/>
        </w:numPr>
        <w:tabs>
          <w:tab w:val="left" w:pos="900"/>
        </w:tabs>
        <w:ind w:hanging="60"/>
        <w:rPr>
          <w:rFonts w:asciiTheme="minorEastAsia" w:hAnsiTheme="minorEastAsia" w:eastAsiaTheme="minorEastAsia" w:cstheme="minorEastAsia"/>
          <w:color w:val="000000" w:themeColor="text1"/>
          <w:sz w:val="28"/>
          <w:szCs w:val="28"/>
        </w:rPr>
      </w:pPr>
      <w:r>
        <w:rPr>
          <w:rFonts w:asciiTheme="minorEastAsia" w:hAnsiTheme="minorEastAsia" w:eastAsiaTheme="minorEastAsia" w:cstheme="minorEastAsia"/>
          <w:color w:val="000000" w:themeColor="text1"/>
          <w:sz w:val="28"/>
          <w:szCs w:val="28"/>
          <w:lang w:bidi="ar-SA"/>
        </w:rPr>
        <w:pict>
          <v:shape id="立方体 1" o:spid="_x0000_s1030" o:spt="16" type="#_x0000_t16" style="position:absolute;left:0pt;margin-left:135pt;margin-top:7.8pt;height:140.4pt;width:162pt;z-index:25166336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" adj="12669">
            <v:path/>
            <v:fill focussize="0,0"/>
            <v:stroke joinstyle="miter"/>
            <v:imagedata o:title=""/>
            <o:lock v:ext="edit"/>
            <v:textbox>
              <w:txbxContent>
                <w:p>
                  <w:pPr>
                    <w:rPr>
                      <w:sz w:val="30"/>
                    </w:rPr>
                  </w:pPr>
                  <w:r>
                    <w:rPr>
                      <w:rFonts w:hint="eastAsia"/>
                      <w:sz w:val="30"/>
                    </w:rPr>
                    <w:t>慎防潮湿</w:t>
                  </w:r>
                </w:p>
                <w:p>
                  <w:r>
                    <w:rPr>
                      <w:rFonts w:hint="eastAsia"/>
                      <w:sz w:val="30"/>
                    </w:rPr>
                    <w:t>小心轻放</w:t>
                  </w:r>
                </w:p>
              </w:txbxContent>
            </v:textbox>
          </v:shape>
        </w:pict>
      </w:r>
      <w:r>
        <w:rPr>
          <w:rFonts w:hint="eastAsia" w:asciiTheme="minorEastAsia" w:hAnsiTheme="minorEastAsia" w:eastAsiaTheme="minorEastAsia" w:cstheme="minorEastAsia"/>
          <w:color w:val="000000" w:themeColor="text1"/>
          <w:sz w:val="28"/>
          <w:szCs w:val="28"/>
        </w:rPr>
        <w:t>纸板箱侧面</w:t>
      </w:r>
    </w:p>
    <w:p>
      <w:pPr>
        <w:tabs>
          <w:tab w:val="left" w:pos="900"/>
        </w:tabs>
        <w:rPr>
          <w:rFonts w:asciiTheme="minorEastAsia" w:hAnsiTheme="minorEastAsia" w:eastAsiaTheme="minorEastAsia" w:cstheme="minorEastAsia"/>
          <w:color w:val="000000" w:themeColor="text1"/>
          <w:sz w:val="28"/>
          <w:szCs w:val="28"/>
        </w:rPr>
      </w:pPr>
    </w:p>
    <w:p>
      <w:pPr>
        <w:tabs>
          <w:tab w:val="left" w:pos="900"/>
        </w:tabs>
        <w:rPr>
          <w:rFonts w:asciiTheme="minorEastAsia" w:hAnsiTheme="minorEastAsia" w:eastAsiaTheme="minorEastAsia" w:cstheme="minorEastAsia"/>
          <w:color w:val="000000" w:themeColor="text1"/>
          <w:sz w:val="28"/>
          <w:szCs w:val="28"/>
        </w:rPr>
      </w:pPr>
    </w:p>
    <w:p>
      <w:pPr>
        <w:tabs>
          <w:tab w:val="left" w:pos="900"/>
        </w:tabs>
        <w:rPr>
          <w:rFonts w:asciiTheme="minorEastAsia" w:hAnsiTheme="minorEastAsia" w:eastAsiaTheme="minorEastAsia" w:cstheme="minorEastAsia"/>
          <w:color w:val="000000" w:themeColor="text1"/>
          <w:sz w:val="28"/>
          <w:szCs w:val="28"/>
        </w:rPr>
      </w:pPr>
    </w:p>
    <w:p>
      <w:pPr>
        <w:tabs>
          <w:tab w:val="left" w:pos="900"/>
        </w:tabs>
        <w:rPr>
          <w:rFonts w:asciiTheme="minorEastAsia" w:hAnsiTheme="minorEastAsia" w:eastAsiaTheme="minorEastAsia" w:cstheme="minorEastAsia"/>
          <w:color w:val="000000" w:themeColor="text1"/>
          <w:sz w:val="28"/>
          <w:szCs w:val="28"/>
        </w:rPr>
      </w:pPr>
    </w:p>
    <w:p>
      <w:pPr>
        <w:rPr>
          <w:rFonts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*备注：两个侧面都要印刷，内容相同。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ngsana New">
    <w:altName w:val="Times New Roman"/>
    <w:panose1 w:val="02020603050405020304"/>
    <w:charset w:val="00"/>
    <w:family w:val="roman"/>
    <w:pitch w:val="default"/>
    <w:sig w:usb0="00000000" w:usb1="00000000" w:usb2="00000000" w:usb3="00000000" w:csb0="00010001"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华文宋体">
    <w:altName w:val="宋体"/>
    <w:panose1 w:val="00000000000000000000"/>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8C6A5B"/>
    <w:multiLevelType w:val="singleLevel"/>
    <w:tmpl w:val="958C6A5B"/>
    <w:lvl w:ilvl="0" w:tentative="0">
      <w:start w:val="9"/>
      <w:numFmt w:val="decimal"/>
      <w:suff w:val="space"/>
      <w:lvlText w:val="%1."/>
      <w:lvlJc w:val="left"/>
    </w:lvl>
  </w:abstractNum>
  <w:abstractNum w:abstractNumId="1">
    <w:nsid w:val="EB013A05"/>
    <w:multiLevelType w:val="singleLevel"/>
    <w:tmpl w:val="EB013A05"/>
    <w:lvl w:ilvl="0" w:tentative="0">
      <w:start w:val="1"/>
      <w:numFmt w:val="decimal"/>
      <w:suff w:val="nothing"/>
      <w:lvlText w:val="%1、"/>
      <w:lvlJc w:val="left"/>
    </w:lvl>
  </w:abstractNum>
  <w:abstractNum w:abstractNumId="2">
    <w:nsid w:val="123A66B7"/>
    <w:multiLevelType w:val="multilevel"/>
    <w:tmpl w:val="123A66B7"/>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145C3F8F"/>
    <w:multiLevelType w:val="multilevel"/>
    <w:tmpl w:val="145C3F8F"/>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B5ED79C"/>
    <w:multiLevelType w:val="singleLevel"/>
    <w:tmpl w:val="1B5ED79C"/>
    <w:lvl w:ilvl="0" w:tentative="0">
      <w:start w:val="5"/>
      <w:numFmt w:val="chineseCounting"/>
      <w:suff w:val="space"/>
      <w:lvlText w:val="%1、"/>
      <w:lvlJc w:val="left"/>
      <w:rPr>
        <w:rFonts w:hint="eastAsia"/>
      </w:rPr>
    </w:lvl>
  </w:abstractNum>
  <w:abstractNum w:abstractNumId="5">
    <w:nsid w:val="30850FC3"/>
    <w:multiLevelType w:val="multilevel"/>
    <w:tmpl w:val="30850FC3"/>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52972AC3"/>
    <w:multiLevelType w:val="multilevel"/>
    <w:tmpl w:val="52972AC3"/>
    <w:lvl w:ilvl="0" w:tentative="0">
      <w:start w:val="1"/>
      <w:numFmt w:val="japaneseCounting"/>
      <w:lvlText w:val="%1、"/>
      <w:lvlJc w:val="left"/>
      <w:pPr>
        <w:tabs>
          <w:tab w:val="left" w:pos="495"/>
        </w:tabs>
        <w:ind w:left="495" w:hanging="495"/>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7">
    <w:nsid w:val="663E2C44"/>
    <w:multiLevelType w:val="multilevel"/>
    <w:tmpl w:val="663E2C44"/>
    <w:lvl w:ilvl="0" w:tentative="0">
      <w:start w:val="1"/>
      <w:numFmt w:val="chineseCountingThousand"/>
      <w:lvlText w:val="%1、"/>
      <w:lvlJc w:val="left"/>
      <w:pPr>
        <w:ind w:left="0" w:firstLine="0"/>
      </w:pPr>
      <w:rPr>
        <w:rFonts w:hint="default"/>
        <w:color w:val="auto"/>
        <w:spacing w:val="-20"/>
      </w:rPr>
    </w:lvl>
    <w:lvl w:ilvl="1" w:tentative="0">
      <w:start w:val="1"/>
      <w:numFmt w:val="ideographTraditional"/>
      <w:lvlText w:val="%2、"/>
      <w:lvlJc w:val="left"/>
      <w:pPr>
        <w:ind w:left="840" w:hanging="4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5063417"/>
    <w:multiLevelType w:val="multilevel"/>
    <w:tmpl w:val="75063417"/>
    <w:lvl w:ilvl="0" w:tentative="0">
      <w:start w:val="1"/>
      <w:numFmt w:val="decimal"/>
      <w:lvlText w:val="%1"/>
      <w:lvlJc w:val="left"/>
      <w:pPr>
        <w:ind w:left="425" w:hanging="425"/>
      </w:pPr>
    </w:lvl>
    <w:lvl w:ilvl="1" w:tentative="0">
      <w:start w:val="1"/>
      <w:numFmt w:val="decimal"/>
      <w:lvlText w:val="%1.%2"/>
      <w:lvlJc w:val="left"/>
      <w:pPr>
        <w:ind w:left="993" w:hanging="567"/>
      </w:pPr>
      <w:rPr>
        <w:b/>
        <w:strike w:val="0"/>
        <w:color w:val="auto"/>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9">
    <w:nsid w:val="762B1393"/>
    <w:multiLevelType w:val="multilevel"/>
    <w:tmpl w:val="762B1393"/>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7C84265E"/>
    <w:multiLevelType w:val="multilevel"/>
    <w:tmpl w:val="7C84265E"/>
    <w:lvl w:ilvl="0" w:tentative="0">
      <w:start w:val="1"/>
      <w:numFmt w:val="japaneseCounting"/>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6"/>
  </w:num>
  <w:num w:numId="2">
    <w:abstractNumId w:val="1"/>
  </w:num>
  <w:num w:numId="3">
    <w:abstractNumId w:val="7"/>
  </w:num>
  <w:num w:numId="4">
    <w:abstractNumId w:val="8"/>
  </w:num>
  <w:num w:numId="5">
    <w:abstractNumId w:val="4"/>
  </w:num>
  <w:num w:numId="6">
    <w:abstractNumId w:val="0"/>
  </w:num>
  <w:num w:numId="7">
    <w:abstractNumId w:val="10"/>
  </w:num>
  <w:num w:numId="8">
    <w:abstractNumId w:val="3"/>
  </w:num>
  <w:num w:numId="9">
    <w:abstractNumId w:val="2"/>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965C0"/>
    <w:rsid w:val="000D7215"/>
    <w:rsid w:val="000E501F"/>
    <w:rsid w:val="000F45AD"/>
    <w:rsid w:val="00170F57"/>
    <w:rsid w:val="001B2280"/>
    <w:rsid w:val="001D25D6"/>
    <w:rsid w:val="001E21EB"/>
    <w:rsid w:val="0021605B"/>
    <w:rsid w:val="00217574"/>
    <w:rsid w:val="00246D20"/>
    <w:rsid w:val="002D1BA1"/>
    <w:rsid w:val="00361E78"/>
    <w:rsid w:val="003B360F"/>
    <w:rsid w:val="003B374B"/>
    <w:rsid w:val="003C007D"/>
    <w:rsid w:val="003D6BFD"/>
    <w:rsid w:val="003E4661"/>
    <w:rsid w:val="003F106D"/>
    <w:rsid w:val="004255BC"/>
    <w:rsid w:val="00447BDB"/>
    <w:rsid w:val="00487872"/>
    <w:rsid w:val="004E40FF"/>
    <w:rsid w:val="004F4F2D"/>
    <w:rsid w:val="004F5014"/>
    <w:rsid w:val="00506C98"/>
    <w:rsid w:val="00541BB4"/>
    <w:rsid w:val="006264CE"/>
    <w:rsid w:val="006503DD"/>
    <w:rsid w:val="00696633"/>
    <w:rsid w:val="006C512C"/>
    <w:rsid w:val="006C75DB"/>
    <w:rsid w:val="006D386D"/>
    <w:rsid w:val="006F0AF9"/>
    <w:rsid w:val="00734ED4"/>
    <w:rsid w:val="00776DE1"/>
    <w:rsid w:val="00782CEE"/>
    <w:rsid w:val="007A1092"/>
    <w:rsid w:val="007C2C3E"/>
    <w:rsid w:val="007E7FCA"/>
    <w:rsid w:val="0080346B"/>
    <w:rsid w:val="0084298C"/>
    <w:rsid w:val="008837E6"/>
    <w:rsid w:val="008965C0"/>
    <w:rsid w:val="008A5102"/>
    <w:rsid w:val="008B036D"/>
    <w:rsid w:val="008B3162"/>
    <w:rsid w:val="008C7FBA"/>
    <w:rsid w:val="008D589A"/>
    <w:rsid w:val="00917472"/>
    <w:rsid w:val="009652F2"/>
    <w:rsid w:val="009A56C1"/>
    <w:rsid w:val="009A5887"/>
    <w:rsid w:val="009B4B7A"/>
    <w:rsid w:val="00A36C25"/>
    <w:rsid w:val="00A60BA7"/>
    <w:rsid w:val="00AB6EC6"/>
    <w:rsid w:val="00AD297E"/>
    <w:rsid w:val="00B44F70"/>
    <w:rsid w:val="00B50E98"/>
    <w:rsid w:val="00B961A2"/>
    <w:rsid w:val="00BD2F4E"/>
    <w:rsid w:val="00C17FFD"/>
    <w:rsid w:val="00C20F47"/>
    <w:rsid w:val="00C70281"/>
    <w:rsid w:val="00D362C9"/>
    <w:rsid w:val="00DF0454"/>
    <w:rsid w:val="00E30EA4"/>
    <w:rsid w:val="00E466BD"/>
    <w:rsid w:val="00E72B93"/>
    <w:rsid w:val="00ED177A"/>
    <w:rsid w:val="00ED585F"/>
    <w:rsid w:val="00ED64E9"/>
    <w:rsid w:val="00F23D4A"/>
    <w:rsid w:val="00F40B2C"/>
    <w:rsid w:val="00F41488"/>
    <w:rsid w:val="00F96D3F"/>
    <w:rsid w:val="00FB5B25"/>
    <w:rsid w:val="00FE5EC4"/>
    <w:rsid w:val="030C4EC9"/>
    <w:rsid w:val="0C0305DE"/>
    <w:rsid w:val="212734C6"/>
    <w:rsid w:val="22D43426"/>
    <w:rsid w:val="23E402BE"/>
    <w:rsid w:val="2BCE3EC1"/>
    <w:rsid w:val="31183954"/>
    <w:rsid w:val="42AD7CED"/>
    <w:rsid w:val="43385F6F"/>
    <w:rsid w:val="4E2F601D"/>
    <w:rsid w:val="4EA526B1"/>
    <w:rsid w:val="50D200EB"/>
    <w:rsid w:val="556F1AE6"/>
    <w:rsid w:val="561940BF"/>
    <w:rsid w:val="67115376"/>
    <w:rsid w:val="6DC65C05"/>
    <w:rsid w:val="6EA92DFD"/>
    <w:rsid w:val="7E876C9C"/>
    <w:rsid w:val="7FDB4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Angsana New"/>
      <w:kern w:val="2"/>
      <w:sz w:val="21"/>
      <w:szCs w:val="24"/>
      <w:lang w:val="en-US" w:eastAsia="zh-CN" w:bidi="th-TH"/>
    </w:rPr>
  </w:style>
  <w:style w:type="paragraph" w:styleId="2">
    <w:name w:val="heading 3"/>
    <w:basedOn w:val="1"/>
    <w:next w:val="1"/>
    <w:link w:val="16"/>
    <w:qFormat/>
    <w:uiPriority w:val="9"/>
    <w:pPr>
      <w:widowControl/>
      <w:spacing w:before="100" w:beforeAutospacing="1" w:after="100" w:afterAutospacing="1"/>
      <w:jc w:val="left"/>
      <w:outlineLvl w:val="2"/>
    </w:pPr>
    <w:rPr>
      <w:rFonts w:ascii="宋体" w:hAnsi="宋体"/>
      <w:b/>
      <w:bCs/>
      <w:kern w:val="0"/>
      <w:sz w:val="27"/>
      <w:szCs w:val="27"/>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7"/>
    <w:qFormat/>
    <w:uiPriority w:val="0"/>
    <w:pPr>
      <w:ind w:firstLine="720" w:firstLineChars="240"/>
    </w:pPr>
    <w:rPr>
      <w:sz w:val="30"/>
    </w:rPr>
  </w:style>
  <w:style w:type="paragraph" w:styleId="4">
    <w:name w:val="Body Text Indent 2"/>
    <w:basedOn w:val="1"/>
    <w:link w:val="18"/>
    <w:qFormat/>
    <w:uiPriority w:val="0"/>
    <w:pPr>
      <w:ind w:firstLine="1020" w:firstLineChars="340"/>
    </w:pPr>
    <w:rPr>
      <w:sz w:val="30"/>
    </w:rPr>
  </w:style>
  <w:style w:type="paragraph" w:styleId="5">
    <w:name w:val="Balloon Text"/>
    <w:basedOn w:val="1"/>
    <w:link w:val="23"/>
    <w:semiHidden/>
    <w:unhideWhenUsed/>
    <w:qFormat/>
    <w:uiPriority w:val="99"/>
    <w:rPr>
      <w:sz w:val="18"/>
      <w:szCs w:val="22"/>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Indent 3"/>
    <w:basedOn w:val="1"/>
    <w:link w:val="19"/>
    <w:qFormat/>
    <w:uiPriority w:val="0"/>
    <w:pPr>
      <w:ind w:firstLine="672" w:firstLineChars="240"/>
    </w:pPr>
    <w:rPr>
      <w:sz w:val="28"/>
    </w:rPr>
  </w:style>
  <w:style w:type="paragraph" w:styleId="9">
    <w:name w:val="Title"/>
    <w:basedOn w:val="1"/>
    <w:next w:val="1"/>
    <w:link w:val="20"/>
    <w:qFormat/>
    <w:uiPriority w:val="10"/>
    <w:pPr>
      <w:spacing w:before="240" w:after="60"/>
      <w:jc w:val="center"/>
      <w:outlineLvl w:val="0"/>
    </w:pPr>
    <w:rPr>
      <w:rFonts w:ascii="Cambria" w:hAnsi="Cambria"/>
      <w:b/>
      <w:bCs/>
      <w:sz w:val="32"/>
      <w:szCs w:val="32"/>
    </w:rPr>
  </w:style>
  <w:style w:type="table" w:styleId="11">
    <w:name w:val="Table Grid"/>
    <w:basedOn w:val="10"/>
    <w:qFormat/>
    <w:uiPriority w:val="9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页眉 Char"/>
    <w:basedOn w:val="12"/>
    <w:link w:val="7"/>
    <w:qFormat/>
    <w:uiPriority w:val="99"/>
    <w:rPr>
      <w:sz w:val="18"/>
      <w:szCs w:val="18"/>
    </w:rPr>
  </w:style>
  <w:style w:type="character" w:customStyle="1" w:styleId="14">
    <w:name w:val="页脚 Char"/>
    <w:basedOn w:val="12"/>
    <w:link w:val="6"/>
    <w:qFormat/>
    <w:uiPriority w:val="99"/>
    <w:rPr>
      <w:sz w:val="18"/>
      <w:szCs w:val="18"/>
    </w:rPr>
  </w:style>
  <w:style w:type="paragraph" w:styleId="15">
    <w:name w:val="List Paragraph"/>
    <w:basedOn w:val="1"/>
    <w:qFormat/>
    <w:uiPriority w:val="99"/>
    <w:pPr>
      <w:ind w:firstLine="420" w:firstLineChars="200"/>
    </w:pPr>
  </w:style>
  <w:style w:type="character" w:customStyle="1" w:styleId="16">
    <w:name w:val="标题 3 Char"/>
    <w:basedOn w:val="12"/>
    <w:link w:val="2"/>
    <w:qFormat/>
    <w:uiPriority w:val="9"/>
    <w:rPr>
      <w:rFonts w:ascii="宋体" w:hAnsi="宋体" w:eastAsia="宋体" w:cs="Angsana New"/>
      <w:b/>
      <w:bCs/>
      <w:kern w:val="0"/>
      <w:sz w:val="27"/>
      <w:szCs w:val="27"/>
      <w:lang w:bidi="th-TH"/>
    </w:rPr>
  </w:style>
  <w:style w:type="character" w:customStyle="1" w:styleId="17">
    <w:name w:val="正文文本缩进 Char"/>
    <w:basedOn w:val="12"/>
    <w:link w:val="3"/>
    <w:qFormat/>
    <w:uiPriority w:val="0"/>
    <w:rPr>
      <w:rFonts w:ascii="Times New Roman" w:hAnsi="Times New Roman" w:eastAsia="宋体" w:cs="Angsana New"/>
      <w:sz w:val="30"/>
      <w:szCs w:val="24"/>
      <w:lang w:bidi="th-TH"/>
    </w:rPr>
  </w:style>
  <w:style w:type="character" w:customStyle="1" w:styleId="18">
    <w:name w:val="正文文本缩进 2 Char"/>
    <w:basedOn w:val="12"/>
    <w:link w:val="4"/>
    <w:qFormat/>
    <w:uiPriority w:val="0"/>
    <w:rPr>
      <w:rFonts w:ascii="Times New Roman" w:hAnsi="Times New Roman" w:eastAsia="宋体" w:cs="Angsana New"/>
      <w:sz w:val="30"/>
      <w:szCs w:val="24"/>
      <w:lang w:bidi="th-TH"/>
    </w:rPr>
  </w:style>
  <w:style w:type="character" w:customStyle="1" w:styleId="19">
    <w:name w:val="正文文本缩进 3 Char"/>
    <w:basedOn w:val="12"/>
    <w:link w:val="8"/>
    <w:qFormat/>
    <w:uiPriority w:val="0"/>
    <w:rPr>
      <w:rFonts w:ascii="Times New Roman" w:hAnsi="Times New Roman" w:eastAsia="宋体" w:cs="Angsana New"/>
      <w:sz w:val="28"/>
      <w:szCs w:val="24"/>
      <w:lang w:bidi="th-TH"/>
    </w:rPr>
  </w:style>
  <w:style w:type="character" w:customStyle="1" w:styleId="20">
    <w:name w:val="标题 Char"/>
    <w:basedOn w:val="12"/>
    <w:link w:val="9"/>
    <w:qFormat/>
    <w:uiPriority w:val="10"/>
    <w:rPr>
      <w:rFonts w:ascii="Cambria" w:hAnsi="Cambria" w:eastAsia="宋体" w:cs="Angsana New"/>
      <w:b/>
      <w:bCs/>
      <w:sz w:val="32"/>
      <w:szCs w:val="32"/>
      <w:lang w:bidi="th-TH"/>
    </w:rPr>
  </w:style>
  <w:style w:type="paragraph" w:customStyle="1" w:styleId="21">
    <w:name w:val="段"/>
    <w:qFormat/>
    <w:uiPriority w:val="0"/>
    <w:pPr>
      <w:autoSpaceDE w:val="0"/>
      <w:autoSpaceDN w:val="0"/>
      <w:spacing w:line="360" w:lineRule="auto"/>
      <w:ind w:firstLine="200" w:firstLineChars="200"/>
      <w:jc w:val="both"/>
    </w:pPr>
    <w:rPr>
      <w:rFonts w:hint="eastAsia" w:ascii="宋体" w:hAnsi="Times New Roman" w:eastAsia="宋体" w:cs="Times New Roman"/>
      <w:sz w:val="21"/>
      <w:lang w:val="en-US" w:eastAsia="zh-CN" w:bidi="ar-SA"/>
    </w:rPr>
  </w:style>
  <w:style w:type="character" w:customStyle="1" w:styleId="22">
    <w:name w:val="明显强调1"/>
    <w:basedOn w:val="12"/>
    <w:qFormat/>
    <w:uiPriority w:val="21"/>
    <w:rPr>
      <w:i/>
      <w:iCs/>
      <w:color w:val="4F81BD" w:themeColor="accent1"/>
    </w:rPr>
  </w:style>
  <w:style w:type="character" w:customStyle="1" w:styleId="23">
    <w:name w:val="批注框文本 Char"/>
    <w:basedOn w:val="12"/>
    <w:link w:val="5"/>
    <w:semiHidden/>
    <w:qFormat/>
    <w:uiPriority w:val="99"/>
    <w:rPr>
      <w:rFonts w:ascii="Times New Roman" w:hAnsi="Times New Roman" w:eastAsia="宋体" w:cs="Angsana New"/>
      <w:sz w:val="18"/>
      <w:lang w:bidi="th-TH"/>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27</Pages>
  <Words>2378</Words>
  <Characters>13561</Characters>
  <Lines>113</Lines>
  <Paragraphs>31</Paragraphs>
  <TotalTime>5</TotalTime>
  <ScaleCrop>false</ScaleCrop>
  <LinksUpToDate>false</LinksUpToDate>
  <CharactersWithSpaces>15908</CharactersWithSpaces>
  <Application>WPS Office_11.1.0.9198_F1E327BC-269C-435d-A152-05C5408002CA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2020-01-06T01:01:00Z</dcterms:created>
  <dc:creator>admin</dc:creator>
  <cp:lastModifiedBy>Administrator</cp:lastModifiedBy>
  <cp:lastPrinted>2019-06-11T05:21:00Z</cp:lastPrinted>
  <dcterms:modified xsi:type="dcterms:W3CDTF">2020-01-06T01:44:56Z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2052-11.1.0.9198</vt:lpwstr>
  </property>
</Properties>
</file>