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附件4：</w:t>
      </w:r>
      <w:r>
        <w:rPr>
          <w:rFonts w:hint="eastAsia"/>
          <w:color w:val="000000"/>
          <w:sz w:val="22"/>
        </w:rPr>
        <w:t>报价单模板</w:t>
      </w:r>
    </w:p>
    <w:p>
      <w:pPr>
        <w:jc w:val="center"/>
        <w:rPr>
          <w:rFonts w:ascii="Calibri" w:hAnsi="Calibri"/>
          <w:b/>
          <w:sz w:val="32"/>
          <w:szCs w:val="22"/>
        </w:rPr>
      </w:pPr>
      <w:r>
        <w:rPr>
          <w:rFonts w:hint="eastAsia" w:ascii="Calibri" w:hAnsi="Calibri"/>
          <w:b/>
          <w:sz w:val="32"/>
          <w:szCs w:val="22"/>
        </w:rPr>
        <w:t>报 价 单</w:t>
      </w:r>
    </w:p>
    <w:p>
      <w:pPr>
        <w:spacing w:line="360" w:lineRule="auto"/>
        <w:ind w:left="-44" w:leftChars="-88" w:hanging="141" w:hangingChars="59"/>
        <w:jc w:val="lef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北汽福田汽车股份有限公司北京欧辉客车分公司：</w:t>
      </w:r>
    </w:p>
    <w:p>
      <w:pPr>
        <w:spacing w:line="360" w:lineRule="auto"/>
        <w:ind w:left="-44" w:leftChars="-88" w:hanging="141" w:hangingChars="59"/>
        <w:jc w:val="lef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     此次与贵司合作，关于</w:t>
      </w:r>
      <w:r>
        <w:rPr>
          <w:rFonts w:hint="eastAsia" w:ascii="仿宋_GB2312" w:hAnsi="宋体" w:eastAsia="仿宋_GB2312"/>
          <w:bCs/>
          <w:sz w:val="24"/>
          <w:lang w:eastAsia="zh-CN"/>
        </w:rPr>
        <w:t>北京祥龙公交</w:t>
      </w:r>
      <w:r>
        <w:rPr>
          <w:rFonts w:hint="eastAsia" w:ascii="仿宋_GB2312" w:hAnsi="宋体" w:eastAsia="仿宋_GB2312"/>
          <w:bCs/>
          <w:sz w:val="24"/>
        </w:rPr>
        <w:t>订单的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48台10.5米车辆两轴ECAS</w:t>
      </w:r>
      <w:r>
        <w:rPr>
          <w:rFonts w:hint="eastAsia" w:ascii="仿宋_GB2312" w:hAnsi="宋体" w:eastAsia="仿宋_GB2312"/>
          <w:bCs/>
          <w:sz w:val="24"/>
        </w:rPr>
        <w:t>部件，我司商务条件如下：</w:t>
      </w:r>
    </w:p>
    <w:tbl>
      <w:tblPr>
        <w:tblStyle w:val="2"/>
        <w:tblW w:w="0" w:type="auto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88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3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商务项</w:t>
            </w:r>
          </w:p>
        </w:tc>
        <w:tc>
          <w:tcPr>
            <w:tcW w:w="614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价格</w:t>
            </w:r>
          </w:p>
        </w:tc>
        <w:tc>
          <w:tcPr>
            <w:tcW w:w="61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单价：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13000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元；合计：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624000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元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报价含税含运费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52"/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报价不含税□   报价不含运费□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配置说明</w:t>
            </w:r>
          </w:p>
        </w:tc>
        <w:tc>
          <w:tcPr>
            <w:tcW w:w="614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按照欧辉客车与北京光华确认技术文件执行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交付周期</w:t>
            </w:r>
          </w:p>
        </w:tc>
        <w:tc>
          <w:tcPr>
            <w:tcW w:w="61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自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采购订单下发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之日起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天交货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生产服务</w:t>
            </w:r>
          </w:p>
        </w:tc>
        <w:tc>
          <w:tcPr>
            <w:tcW w:w="61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如果生产需要是否同意安排现场服务人员</w:t>
            </w:r>
          </w:p>
          <w:p>
            <w:pPr>
              <w:spacing w:line="360" w:lineRule="auto"/>
              <w:ind w:firstLine="720" w:firstLineChars="3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同意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52"/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不同意 </w:t>
            </w:r>
            <w:r>
              <w:rPr>
                <w:rFonts w:hint="eastAsia" w:ascii="仿宋" w:hAnsi="仿宋" w:eastAsia="仿宋"/>
                <w:bCs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质保期</w:t>
            </w:r>
          </w:p>
        </w:tc>
        <w:tc>
          <w:tcPr>
            <w:tcW w:w="61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质保期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年          由供应商提供质保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6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付款方式</w:t>
            </w:r>
          </w:p>
        </w:tc>
        <w:tc>
          <w:tcPr>
            <w:tcW w:w="61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发票挂账90天付款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3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7</w:t>
            </w:r>
          </w:p>
        </w:tc>
        <w:tc>
          <w:tcPr>
            <w:tcW w:w="138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质保金</w:t>
            </w:r>
          </w:p>
        </w:tc>
        <w:tc>
          <w:tcPr>
            <w:tcW w:w="614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8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</w:t>
            </w:r>
          </w:p>
        </w:tc>
        <w:tc>
          <w:tcPr>
            <w:tcW w:w="614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是否能够提供增值税发票    是 </w:t>
            </w:r>
            <w:r>
              <w:rPr>
                <w:rFonts w:hint="eastAsia" w:ascii="仿宋" w:hAnsi="仿宋" w:eastAsia="仿宋"/>
                <w:bCs/>
                <w:sz w:val="24"/>
              </w:rPr>
              <w:sym w:font="Wingdings 2" w:char="0052"/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否 </w:t>
            </w:r>
            <w:r>
              <w:rPr>
                <w:rFonts w:hint="eastAsia" w:ascii="仿宋" w:hAnsi="仿宋" w:eastAsia="仿宋"/>
                <w:bCs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</w:t>
            </w:r>
          </w:p>
        </w:tc>
      </w:tr>
    </w:tbl>
    <w:p>
      <w:pPr>
        <w:spacing w:line="360" w:lineRule="auto"/>
        <w:jc w:val="left"/>
        <w:rPr>
          <w:rFonts w:ascii="仿宋_GB2312" w:hAnsi="宋体" w:eastAsia="仿宋_GB2312"/>
          <w:bCs/>
          <w:sz w:val="24"/>
        </w:rPr>
      </w:pPr>
    </w:p>
    <w:p>
      <w:pPr>
        <w:spacing w:line="360" w:lineRule="auto"/>
        <w:jc w:val="lef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我司承诺此配置已符合客户的所有技术要求，如果差别造成损失，我司愿意自行承担！</w:t>
      </w:r>
    </w:p>
    <w:p>
      <w:pPr>
        <w:rPr>
          <w:rFonts w:ascii="Calibri" w:hAnsi="Calibri"/>
          <w:szCs w:val="22"/>
        </w:rPr>
      </w:pPr>
    </w:p>
    <w:p>
      <w:pPr>
        <w:spacing w:line="360" w:lineRule="auto"/>
        <w:ind w:left="-80" w:leftChars="-38" w:right="480" w:firstLine="480" w:firstLineChars="200"/>
        <w:jc w:val="center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                         （盖章） </w:t>
      </w:r>
      <w:r>
        <w:rPr>
          <w:rFonts w:hint="eastAsia" w:ascii="仿宋_GB2312" w:hAnsi="宋体" w:eastAsia="仿宋_GB2312"/>
          <w:bCs/>
          <w:sz w:val="24"/>
          <w:lang w:eastAsia="zh-CN"/>
        </w:rPr>
        <w:t>北京光华荣昌汽车部件有限</w:t>
      </w:r>
      <w:r>
        <w:rPr>
          <w:rFonts w:hint="eastAsia" w:ascii="仿宋_GB2312" w:hAnsi="宋体" w:eastAsia="仿宋_GB2312"/>
          <w:bCs/>
          <w:sz w:val="24"/>
        </w:rPr>
        <w:t>公司</w:t>
      </w:r>
    </w:p>
    <w:p>
      <w:pPr>
        <w:spacing w:line="360" w:lineRule="auto"/>
        <w:ind w:left="-80" w:leftChars="-38" w:right="1440" w:firstLine="480" w:firstLineChars="200"/>
        <w:jc w:val="center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  <w:lang w:val="en-US" w:eastAsia="zh-CN"/>
        </w:rPr>
        <w:t xml:space="preserve">                                    2020</w:t>
      </w:r>
      <w:r>
        <w:rPr>
          <w:rFonts w:hint="eastAsia" w:ascii="仿宋_GB2312" w:hAnsi="宋体" w:eastAsia="仿宋_GB2312"/>
          <w:bCs/>
          <w:sz w:val="24"/>
        </w:rPr>
        <w:t>年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bCs/>
          <w:sz w:val="24"/>
        </w:rPr>
        <w:t>月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 xml:space="preserve"> 8</w:t>
      </w:r>
      <w:r>
        <w:rPr>
          <w:rFonts w:hint="eastAsia" w:ascii="仿宋_GB2312" w:hAnsi="宋体" w:eastAsia="仿宋_GB2312"/>
          <w:bCs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6F"/>
    <w:rsid w:val="000A13CB"/>
    <w:rsid w:val="003C0AC0"/>
    <w:rsid w:val="00495D6F"/>
    <w:rsid w:val="004F34C0"/>
    <w:rsid w:val="005C5E9F"/>
    <w:rsid w:val="005D6CFD"/>
    <w:rsid w:val="00677931"/>
    <w:rsid w:val="00737797"/>
    <w:rsid w:val="008657A7"/>
    <w:rsid w:val="00AC1FEB"/>
    <w:rsid w:val="00E60EE1"/>
    <w:rsid w:val="00EF5FF6"/>
    <w:rsid w:val="1503322F"/>
    <w:rsid w:val="24D71DAD"/>
    <w:rsid w:val="2D396730"/>
    <w:rsid w:val="525C66BE"/>
    <w:rsid w:val="68E10F50"/>
    <w:rsid w:val="7FEC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451</Characters>
  <Lines>3</Lines>
  <Paragraphs>1</Paragraphs>
  <TotalTime>4</TotalTime>
  <ScaleCrop>false</ScaleCrop>
  <LinksUpToDate>false</LinksUpToDate>
  <CharactersWithSpaces>528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2020-01-08T02:37:00Z</dcterms:created>
  <dc:creator>刘明黎</dc:creator>
  <cp:lastModifiedBy>Administrator</cp:lastModifiedBy>
  <dcterms:modified xsi:type="dcterms:W3CDTF">2020-01-08T05:29:56Z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