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25536094"/>
      <w:bookmarkStart w:id="3" w:name="_Toc11135028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983"/>
        <w:gridCol w:w="566"/>
        <w:gridCol w:w="853"/>
        <w:gridCol w:w="566"/>
        <w:gridCol w:w="709"/>
        <w:gridCol w:w="99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0000013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0000053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2466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24660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46810000005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0000014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0000054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0681010100A0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1162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11620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0681020100A0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上卧铺总成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470400000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079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610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上卧铺总成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47040000011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10 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上卧铺总成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470400000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074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6</w:t>
            </w:r>
            <w:r>
              <w:rPr>
                <w:rStyle w:val="12"/>
                <w:shd w:val="clear" w:color="auto" w:fill="FFFFFF"/>
              </w:rPr>
              <w:t>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下卧铺总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470400000108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720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下卧铺总成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47040000010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6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115760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壹拾壹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2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此价格为卖方出厂价格，运费由卖方承担。（送到买方指定地点）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DAF"/>
    <w:rsid w:val="00C419AF"/>
    <w:rsid w:val="00C53379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58FC"/>
    <w:rsid w:val="00FE28D5"/>
    <w:rsid w:val="00FE5E7F"/>
    <w:rsid w:val="00FF0791"/>
    <w:rsid w:val="00FF62C8"/>
    <w:rsid w:val="04B83F02"/>
    <w:rsid w:val="26EF2D27"/>
    <w:rsid w:val="39B158FD"/>
    <w:rsid w:val="42942C10"/>
    <w:rsid w:val="48170806"/>
    <w:rsid w:val="6EED2E77"/>
    <w:rsid w:val="6FC74B1A"/>
    <w:rsid w:val="780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43FD2-2346-4369-B5CB-86E0FD33E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157</Words>
  <Characters>899</Characters>
  <Lines>7</Lines>
  <Paragraphs>2</Paragraphs>
  <TotalTime>9</TotalTime>
  <ScaleCrop>false</ScaleCrop>
  <LinksUpToDate>false</LinksUpToDate>
  <CharactersWithSpaces>1054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2020-03-10T09:36:01Z</dcterms:modified>
  <dc:title>货物买卖合同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