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40" w:firstLineChars="900"/>
        <w:rPr>
          <w:rFonts w:hint="default"/>
          <w:lang w:val="en-US"/>
        </w:rPr>
      </w:pPr>
      <w:r>
        <w:rPr>
          <w:rFonts w:hint="eastAsia"/>
          <w:sz w:val="36"/>
          <w:szCs w:val="44"/>
          <w:lang w:eastAsia="zh-CN"/>
        </w:rPr>
        <w:t>货车租赁合同</w:t>
      </w:r>
      <w:r>
        <w:rPr>
          <w:rFonts w:hint="eastAsia"/>
          <w:sz w:val="36"/>
          <w:szCs w:val="44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>合同编号</w:t>
      </w:r>
      <w:r>
        <w:rPr>
          <w:rFonts w:hint="eastAsia"/>
          <w:lang w:val="en-US" w:eastAsia="zh-CN"/>
        </w:rPr>
        <w:t>:20200330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潍坊光华荣昌汽车技术有限公司（以下简称甲方）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出租</w:t>
      </w:r>
      <w:r>
        <w:rPr>
          <w:rFonts w:hint="eastAsia" w:ascii="宋体" w:hAnsi="宋体" w:eastAsia="宋体" w:cs="宋体"/>
          <w:sz w:val="24"/>
          <w:szCs w:val="24"/>
        </w:rPr>
        <w:t>方: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邓景亮（以下简称乙方）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甲乙双方经友好协商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就甲方租赁乙方箱式货车一部达成以下协议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乙方的车辆情况：</w:t>
      </w:r>
    </w:p>
    <w:p>
      <w:pPr>
        <w:numPr>
          <w:ilvl w:val="0"/>
          <w:numId w:val="0"/>
        </w:numPr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车型：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重 型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厢式货车，车身颜色：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蓝 色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厢长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7.7M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发动机号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89258217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车辆使用性质：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营运车辆，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交由甲方使用上述车辆，乙方拥有完整所有权、状况良好、证件齐全、无行政罚款待处理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乙方的车辆权利与义务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乙方保障甲方用车；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乙方负责车险费（商业险及强险）、车船使用税、单次验车等相关费用；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乙方负责车辆出险的车辆维修及费用理赔工作；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乙方按月收取租赁费；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乙方为车辆保险采取就高的原则；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乙方接到甲方报险，于车辆出险24小时内报相应的保险公司；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甲方的权利与义务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甲方负担车辆的加油费、过路过桥费、车辆维修保养费等日常合理使用的相关费用；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交通事故保险以外的理赔部分由甲方承担；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甲方要文明驾驶、爱护和保管车辆，车辆出险于出险当时上报交管局（122报警），乙方管理人员要协助保险公司人员做好相关保险业务事宜；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结算方式及价格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甲方按月以电汇、承兑方式为乙方支付租车费用；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租赁费，月结算金额为：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7000元（柒仟元整）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，车辆使用不足一个月的按天计费：7000元/30天=233元/天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租赁期限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2020年1月1日至2020年12月31日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，合同经双方确认后长期有效，遇价格调整双方协议另签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违约责任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租赁期内，乙方不得无故收回出租车辆；如因特殊情况确需提前收回，必须提前一个月书面通知甲方，   同时应全额退还未到期租金，否则应向甲方支付未到期租金50%的违约金，并应承担给甲方造成的全部损失。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租赁期间，甲方如需退租，可以提前解除合同且无需承担违约责任，甲方应结算租赁费至退租当日。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乙方应按照甲方要求购买车辆保险，未按照甲方要求购买保险的，乙方应自行承担保险理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赔以外的部分费用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、争议解决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方式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因履行本合同产生</w:t>
      </w:r>
      <w:r>
        <w:rPr>
          <w:rFonts w:hint="eastAsia" w:ascii="宋体" w:hAnsi="宋体" w:eastAsia="宋体" w:cs="宋体"/>
          <w:sz w:val="24"/>
          <w:szCs w:val="24"/>
        </w:rPr>
        <w:t>争议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，首先应友好协商解决，如协商解决不成，可向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甲方驻地</w:t>
      </w:r>
      <w:r>
        <w:rPr>
          <w:rFonts w:hint="eastAsia" w:ascii="宋体" w:hAnsi="宋体" w:eastAsia="宋体" w:cs="宋体"/>
          <w:sz w:val="24"/>
          <w:szCs w:val="24"/>
        </w:rPr>
        <w:t>人民法院诉讼解决。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八、其他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本合同一式二份，由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方各执一份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签字盖章后即生效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潍坊光华荣昌汽车技术有限公司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方: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盖 章: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盖 章: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代 表: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代 表: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 期: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日 期:</w:t>
      </w:r>
    </w:p>
    <w:sectPr>
      <w:pgSz w:w="11906" w:h="16838"/>
      <w:pgMar w:top="82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093154"/>
    <w:multiLevelType w:val="singleLevel"/>
    <w:tmpl w:val="9A093154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13A66CF9"/>
    <w:multiLevelType w:val="singleLevel"/>
    <w:tmpl w:val="13A66CF9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2">
    <w:nsid w:val="201FF61C"/>
    <w:multiLevelType w:val="singleLevel"/>
    <w:tmpl w:val="201FF61C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3">
    <w:nsid w:val="381CB060"/>
    <w:multiLevelType w:val="singleLevel"/>
    <w:tmpl w:val="381CB06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5C0D6F0"/>
    <w:multiLevelType w:val="singleLevel"/>
    <w:tmpl w:val="55C0D6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0380C"/>
    <w:rsid w:val="3FC73C6B"/>
    <w:rsid w:val="40585E4F"/>
    <w:rsid w:val="69F5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dcterms:modified xsi:type="dcterms:W3CDTF">2020-03-31T06:44:55Z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