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32"/>
          <w:szCs w:val="40"/>
          <w:lang w:eastAsia="zh-CN"/>
        </w:rPr>
      </w:pPr>
      <w:r>
        <w:rPr>
          <w:rFonts w:hint="eastAsia"/>
          <w:b/>
          <w:bCs/>
          <w:color w:val="auto"/>
          <w:sz w:val="32"/>
          <w:szCs w:val="40"/>
          <w:lang w:eastAsia="zh-CN"/>
        </w:rPr>
        <w:t>河北光华荣昌汽车部件有限公司</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b/>
          <w:bCs/>
          <w:color w:val="auto"/>
          <w:sz w:val="32"/>
          <w:szCs w:val="40"/>
          <w:lang w:eastAsia="zh-CN"/>
        </w:rPr>
      </w:pPr>
      <w:r>
        <w:rPr>
          <w:rFonts w:hint="eastAsia"/>
          <w:b/>
          <w:bCs/>
          <w:sz w:val="32"/>
          <w:szCs w:val="40"/>
          <w:lang w:eastAsia="zh-CN"/>
        </w:rPr>
        <w:t>汽车座椅发泡及后视镜镜杆制造项目</w:t>
      </w:r>
      <w:r>
        <w:rPr>
          <w:rFonts w:hint="eastAsia"/>
          <w:b/>
          <w:bCs/>
          <w:color w:val="auto"/>
          <w:sz w:val="32"/>
          <w:szCs w:val="40"/>
          <w:lang w:eastAsia="zh-CN"/>
        </w:rPr>
        <w:t>情况说明</w:t>
      </w:r>
    </w:p>
    <w:p>
      <w:pPr>
        <w:jc w:val="center"/>
        <w:rPr>
          <w:rFonts w:hint="eastAsia"/>
          <w:b/>
          <w:bCs/>
          <w:color w:val="auto"/>
          <w:sz w:val="32"/>
          <w:szCs w:val="40"/>
          <w:lang w:eastAsia="zh-CN"/>
        </w:rPr>
      </w:pPr>
    </w:p>
    <w:p>
      <w:pPr>
        <w:numPr>
          <w:ilvl w:val="0"/>
          <w:numId w:val="1"/>
        </w:numPr>
        <w:rPr>
          <w:rFonts w:hint="eastAsia"/>
          <w:b/>
          <w:bCs/>
          <w:sz w:val="28"/>
          <w:szCs w:val="36"/>
          <w:lang w:eastAsia="zh-CN"/>
        </w:rPr>
      </w:pPr>
      <w:r>
        <w:rPr>
          <w:rFonts w:hint="eastAsia"/>
          <w:b/>
          <w:bCs/>
          <w:sz w:val="28"/>
          <w:szCs w:val="36"/>
          <w:lang w:eastAsia="zh-CN"/>
        </w:rPr>
        <w:t>项目说明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eastAsia="zh-CN"/>
        </w:rPr>
      </w:pPr>
      <w:r>
        <w:rPr>
          <w:rFonts w:hint="eastAsia"/>
          <w:sz w:val="28"/>
          <w:szCs w:val="36"/>
          <w:lang w:eastAsia="zh-CN"/>
        </w:rPr>
        <w:t>河北光华荣昌汽车部件有限公司汽车座椅发泡及后视镜镜杆制造项目</w:t>
      </w:r>
    </w:p>
    <w:p>
      <w:pPr>
        <w:numPr>
          <w:ilvl w:val="0"/>
          <w:numId w:val="1"/>
        </w:numPr>
        <w:rPr>
          <w:rFonts w:hint="eastAsia"/>
          <w:b/>
          <w:bCs/>
          <w:sz w:val="28"/>
          <w:szCs w:val="36"/>
          <w:lang w:eastAsia="zh-CN"/>
        </w:rPr>
      </w:pPr>
      <w:r>
        <w:rPr>
          <w:rFonts w:hint="eastAsia"/>
          <w:b/>
          <w:bCs/>
          <w:sz w:val="28"/>
          <w:szCs w:val="36"/>
          <w:lang w:eastAsia="zh-CN"/>
        </w:rPr>
        <w:t>项目简介</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项目性质：扩建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36"/>
          <w:lang w:val="en-US" w:eastAsia="zh-CN"/>
        </w:rPr>
      </w:pPr>
      <w:r>
        <w:rPr>
          <w:rFonts w:hint="eastAsia"/>
          <w:sz w:val="28"/>
          <w:szCs w:val="36"/>
          <w:lang w:val="en-US" w:eastAsia="zh-CN"/>
        </w:rPr>
        <w:t>项目投资：项目总投资246万元，资本金200万元，固定资产投资226万元，铺底流动资金20万元。</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36"/>
          <w:lang w:val="en-US" w:eastAsia="zh-CN"/>
        </w:rPr>
      </w:pPr>
      <w:r>
        <w:rPr>
          <w:rFonts w:hint="eastAsia"/>
          <w:sz w:val="28"/>
          <w:szCs w:val="36"/>
          <w:lang w:val="en-US" w:eastAsia="zh-CN"/>
        </w:rPr>
        <w:t>建设内容及规模：占地面积900平方米，利用原有厂房，总建筑面积51533.4平米，新购发泡转盘线、抛丸、喷涂、烘干等设备4套。</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vertAlign w:val="baseline"/>
          <w:lang w:val="en-US" w:eastAsia="zh-CN"/>
        </w:rPr>
      </w:pPr>
      <w:r>
        <w:rPr>
          <w:rFonts w:hint="eastAsia"/>
          <w:sz w:val="28"/>
          <w:szCs w:val="36"/>
          <w:lang w:val="en-US" w:eastAsia="zh-CN"/>
        </w:rPr>
        <w:t>项目全部投产达效后，年产汽车座椅4万套、</w:t>
      </w:r>
      <w:bookmarkStart w:id="0" w:name="_GoBack"/>
      <w:bookmarkEnd w:id="0"/>
      <w:r>
        <w:rPr>
          <w:rFonts w:hint="eastAsia"/>
          <w:sz w:val="28"/>
          <w:szCs w:val="36"/>
          <w:lang w:val="en-US" w:eastAsia="zh-CN"/>
        </w:rPr>
        <w:t>汽车后视镜镜杆35万套。年产值560万元，利税总</w:t>
      </w:r>
      <w:r>
        <w:rPr>
          <w:rFonts w:hint="eastAsia"/>
          <w:sz w:val="28"/>
          <w:szCs w:val="36"/>
          <w:vertAlign w:val="baseline"/>
          <w:lang w:val="en-US" w:eastAsia="zh-CN"/>
        </w:rPr>
        <w:t>额57万元。</w:t>
      </w:r>
    </w:p>
    <w:p>
      <w:pPr>
        <w:numPr>
          <w:ilvl w:val="0"/>
          <w:numId w:val="1"/>
        </w:numPr>
        <w:rPr>
          <w:rFonts w:hint="default"/>
          <w:b/>
          <w:bCs/>
          <w:sz w:val="28"/>
          <w:szCs w:val="36"/>
          <w:lang w:val="en-US" w:eastAsia="zh-CN"/>
        </w:rPr>
      </w:pPr>
      <w:r>
        <w:rPr>
          <w:rFonts w:hint="eastAsia"/>
          <w:b/>
          <w:bCs/>
          <w:sz w:val="28"/>
          <w:szCs w:val="36"/>
          <w:lang w:val="en-US" w:eastAsia="zh-CN"/>
        </w:rPr>
        <w:t>项目选址</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b/>
          <w:bCs/>
          <w:sz w:val="28"/>
          <w:szCs w:val="36"/>
          <w:lang w:val="en-US" w:eastAsia="zh-CN"/>
        </w:rPr>
      </w:pPr>
      <w:r>
        <w:rPr>
          <w:rFonts w:hint="eastAsia"/>
          <w:b w:val="0"/>
          <w:bCs w:val="0"/>
          <w:sz w:val="28"/>
          <w:szCs w:val="36"/>
          <w:lang w:val="en-US" w:eastAsia="zh-CN"/>
        </w:rPr>
        <w:t>河北省沧州市黄骅市经济开发区泰山道南端</w:t>
      </w:r>
    </w:p>
    <w:p>
      <w:pPr>
        <w:numPr>
          <w:ilvl w:val="0"/>
          <w:numId w:val="1"/>
        </w:numPr>
        <w:rPr>
          <w:rFonts w:hint="default"/>
          <w:b/>
          <w:bCs/>
          <w:sz w:val="28"/>
          <w:szCs w:val="36"/>
          <w:lang w:val="en-US" w:eastAsia="zh-CN"/>
        </w:rPr>
      </w:pPr>
      <w:r>
        <w:rPr>
          <w:rFonts w:hint="eastAsia"/>
          <w:b/>
          <w:bCs/>
          <w:sz w:val="28"/>
          <w:szCs w:val="36"/>
          <w:lang w:val="en-US" w:eastAsia="zh-CN"/>
        </w:rPr>
        <w:t>生产工艺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eastAsia="zh-CN"/>
        </w:rPr>
        <w:t>喷涂生产线工艺：金属件喷砂</w:t>
      </w:r>
      <w:r>
        <w:rPr>
          <w:rFonts w:hint="eastAsia"/>
          <w:sz w:val="28"/>
          <w:szCs w:val="36"/>
          <w:lang w:val="en-US" w:eastAsia="zh-CN"/>
        </w:rPr>
        <w:t>-擦净-上挂-喷涂-烘干-下挂。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36"/>
          <w:lang w:val="en-US" w:eastAsia="zh-CN"/>
        </w:rPr>
      </w:pPr>
      <w:r>
        <w:rPr>
          <w:rFonts w:hint="eastAsia"/>
          <w:sz w:val="28"/>
          <w:szCs w:val="36"/>
          <w:lang w:val="en-US" w:eastAsia="zh-CN"/>
        </w:rPr>
        <w:t>发泡生产线工艺：配料-安装模具-清理模具-喷模具剂-安装附件-加注-发泡-取件-破泡-修剪-检验。</w:t>
      </w:r>
    </w:p>
    <w:p>
      <w:pPr>
        <w:numPr>
          <w:ilvl w:val="0"/>
          <w:numId w:val="0"/>
        </w:numPr>
        <w:ind w:leftChars="0"/>
        <w:jc w:val="center"/>
        <w:rPr>
          <w:rFonts w:hint="eastAsia" w:ascii="宋体" w:hAnsi="宋体" w:eastAsia="宋体"/>
          <w:sz w:val="28"/>
          <w:szCs w:val="36"/>
          <w:lang w:val="en-US" w:eastAsia="zh-CN"/>
        </w:rPr>
      </w:pPr>
    </w:p>
    <w:p>
      <w:pPr>
        <w:numPr>
          <w:ilvl w:val="0"/>
          <w:numId w:val="0"/>
        </w:numPr>
        <w:ind w:leftChars="0"/>
        <w:jc w:val="center"/>
        <w:rPr>
          <w:rFonts w:hint="eastAsia" w:ascii="宋体" w:hAnsi="宋体" w:eastAsia="宋体"/>
          <w:sz w:val="28"/>
          <w:szCs w:val="36"/>
          <w:lang w:val="en-US" w:eastAsia="zh-CN"/>
        </w:rPr>
      </w:pPr>
    </w:p>
    <w:p>
      <w:pPr>
        <w:numPr>
          <w:ilvl w:val="0"/>
          <w:numId w:val="0"/>
        </w:numPr>
        <w:ind w:leftChars="0"/>
        <w:jc w:val="center"/>
        <w:rPr>
          <w:rFonts w:hint="eastAsia" w:ascii="宋体" w:hAnsi="宋体" w:eastAsia="宋体"/>
          <w:sz w:val="28"/>
          <w:szCs w:val="36"/>
          <w:lang w:val="en-US" w:eastAsia="zh-CN"/>
        </w:rPr>
      </w:pPr>
      <w:r>
        <w:rPr>
          <w:rFonts w:hint="eastAsia" w:ascii="宋体" w:hAnsi="宋体" w:eastAsia="宋体"/>
          <w:sz w:val="28"/>
          <w:szCs w:val="36"/>
          <w:lang w:val="en-US" w:eastAsia="zh-CN"/>
        </w:rPr>
        <w:t>表4-1本项目设备清单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9" w:type="dxa"/>
            <w:vAlign w:val="center"/>
          </w:tcPr>
          <w:p>
            <w:pPr>
              <w:numPr>
                <w:ilvl w:val="0"/>
                <w:numId w:val="0"/>
              </w:numPr>
              <w:jc w:val="center"/>
              <w:rPr>
                <w:rFonts w:hint="default" w:ascii="宋体" w:hAnsi="宋体" w:eastAsia="宋体"/>
                <w:b/>
                <w:bCs/>
                <w:sz w:val="24"/>
                <w:szCs w:val="32"/>
                <w:vertAlign w:val="baseline"/>
                <w:lang w:val="en-US" w:eastAsia="zh-CN"/>
              </w:rPr>
            </w:pPr>
            <w:r>
              <w:rPr>
                <w:rFonts w:hint="eastAsia" w:ascii="宋体" w:hAnsi="宋体" w:eastAsia="宋体"/>
                <w:b/>
                <w:bCs/>
                <w:sz w:val="24"/>
                <w:szCs w:val="32"/>
                <w:vertAlign w:val="baseline"/>
                <w:lang w:val="en-US" w:eastAsia="zh-CN"/>
              </w:rPr>
              <w:t>序号</w:t>
            </w:r>
          </w:p>
        </w:tc>
        <w:tc>
          <w:tcPr>
            <w:tcW w:w="2130" w:type="dxa"/>
            <w:vAlign w:val="center"/>
          </w:tcPr>
          <w:p>
            <w:pPr>
              <w:numPr>
                <w:ilvl w:val="0"/>
                <w:numId w:val="0"/>
              </w:numPr>
              <w:jc w:val="center"/>
              <w:rPr>
                <w:rFonts w:hint="default" w:ascii="宋体" w:hAnsi="宋体" w:eastAsia="宋体"/>
                <w:b/>
                <w:bCs/>
                <w:sz w:val="24"/>
                <w:szCs w:val="32"/>
                <w:vertAlign w:val="baseline"/>
                <w:lang w:val="en-US" w:eastAsia="zh-CN"/>
              </w:rPr>
            </w:pPr>
            <w:r>
              <w:rPr>
                <w:rFonts w:hint="eastAsia" w:ascii="宋体" w:hAnsi="宋体" w:eastAsia="宋体"/>
                <w:b/>
                <w:bCs/>
                <w:sz w:val="24"/>
                <w:szCs w:val="32"/>
                <w:vertAlign w:val="baseline"/>
                <w:lang w:val="en-US" w:eastAsia="zh-CN"/>
              </w:rPr>
              <w:t>设备名称</w:t>
            </w:r>
          </w:p>
        </w:tc>
        <w:tc>
          <w:tcPr>
            <w:tcW w:w="2130" w:type="dxa"/>
            <w:vAlign w:val="center"/>
          </w:tcPr>
          <w:p>
            <w:pPr>
              <w:numPr>
                <w:ilvl w:val="0"/>
                <w:numId w:val="0"/>
              </w:numPr>
              <w:jc w:val="center"/>
              <w:rPr>
                <w:rFonts w:hint="default" w:ascii="宋体" w:hAnsi="宋体" w:eastAsia="宋体"/>
                <w:b/>
                <w:bCs/>
                <w:sz w:val="24"/>
                <w:szCs w:val="32"/>
                <w:vertAlign w:val="baseline"/>
                <w:lang w:val="en-US" w:eastAsia="zh-CN"/>
              </w:rPr>
            </w:pPr>
            <w:r>
              <w:rPr>
                <w:rFonts w:hint="eastAsia" w:ascii="宋体" w:hAnsi="宋体" w:eastAsia="宋体"/>
                <w:b/>
                <w:bCs/>
                <w:sz w:val="24"/>
                <w:szCs w:val="32"/>
                <w:vertAlign w:val="baseline"/>
                <w:lang w:val="en-US" w:eastAsia="zh-CN"/>
              </w:rPr>
              <w:t>数量</w:t>
            </w:r>
          </w:p>
        </w:tc>
        <w:tc>
          <w:tcPr>
            <w:tcW w:w="2130" w:type="dxa"/>
            <w:vAlign w:val="center"/>
          </w:tcPr>
          <w:p>
            <w:pPr>
              <w:numPr>
                <w:ilvl w:val="0"/>
                <w:numId w:val="0"/>
              </w:numPr>
              <w:jc w:val="center"/>
              <w:rPr>
                <w:rFonts w:hint="eastAsia" w:ascii="宋体" w:hAnsi="宋体" w:eastAsia="宋体"/>
                <w:b/>
                <w:bCs/>
                <w:sz w:val="24"/>
                <w:szCs w:val="32"/>
                <w:vertAlign w:val="baseline"/>
                <w:lang w:val="en-US" w:eastAsia="zh-CN"/>
              </w:rPr>
            </w:pPr>
            <w:r>
              <w:rPr>
                <w:rFonts w:hint="eastAsia" w:ascii="宋体" w:hAnsi="宋体" w:eastAsia="宋体"/>
                <w:b/>
                <w:bCs/>
                <w:sz w:val="24"/>
                <w:szCs w:val="32"/>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9" w:type="dxa"/>
            <w:vAlign w:val="center"/>
          </w:tcPr>
          <w:p>
            <w:pPr>
              <w:numPr>
                <w:ilvl w:val="0"/>
                <w:numId w:val="0"/>
              </w:numPr>
              <w:jc w:val="center"/>
              <w:rPr>
                <w:rFonts w:hint="default" w:ascii="宋体" w:hAnsi="宋体" w:eastAsia="宋体"/>
                <w:b w:val="0"/>
                <w:bCs w:val="0"/>
                <w:sz w:val="24"/>
                <w:szCs w:val="32"/>
                <w:vertAlign w:val="baseline"/>
                <w:lang w:val="en-US" w:eastAsia="zh-CN"/>
              </w:rPr>
            </w:pPr>
            <w:r>
              <w:rPr>
                <w:rFonts w:hint="eastAsia" w:ascii="宋体" w:hAnsi="宋体" w:eastAsia="宋体"/>
                <w:b w:val="0"/>
                <w:bCs w:val="0"/>
                <w:sz w:val="24"/>
                <w:szCs w:val="32"/>
                <w:vertAlign w:val="baseline"/>
                <w:lang w:val="en-US" w:eastAsia="zh-CN"/>
              </w:rPr>
              <w:t>1</w:t>
            </w:r>
          </w:p>
        </w:tc>
        <w:tc>
          <w:tcPr>
            <w:tcW w:w="2130" w:type="dxa"/>
            <w:vAlign w:val="center"/>
          </w:tcPr>
          <w:p>
            <w:pPr>
              <w:numPr>
                <w:ilvl w:val="0"/>
                <w:numId w:val="0"/>
              </w:numPr>
              <w:jc w:val="center"/>
              <w:rPr>
                <w:rFonts w:hint="eastAsia" w:ascii="宋体" w:hAnsi="宋体" w:eastAsia="宋体"/>
                <w:b w:val="0"/>
                <w:bCs w:val="0"/>
                <w:sz w:val="24"/>
                <w:szCs w:val="32"/>
                <w:vertAlign w:val="baseline"/>
                <w:lang w:val="en-US" w:eastAsia="zh-CN"/>
              </w:rPr>
            </w:pPr>
            <w:r>
              <w:rPr>
                <w:rFonts w:hint="eastAsia" w:ascii="宋体" w:hAnsi="宋体" w:eastAsia="宋体"/>
                <w:b w:val="0"/>
                <w:bCs w:val="0"/>
                <w:sz w:val="24"/>
                <w:szCs w:val="32"/>
                <w:vertAlign w:val="baseline"/>
                <w:lang w:val="en-US" w:eastAsia="zh-CN"/>
              </w:rPr>
              <w:t>发泡转盘线</w:t>
            </w:r>
          </w:p>
        </w:tc>
        <w:tc>
          <w:tcPr>
            <w:tcW w:w="2130" w:type="dxa"/>
            <w:vAlign w:val="center"/>
          </w:tcPr>
          <w:p>
            <w:pPr>
              <w:numPr>
                <w:ilvl w:val="0"/>
                <w:numId w:val="0"/>
              </w:numPr>
              <w:jc w:val="center"/>
              <w:rPr>
                <w:rFonts w:hint="default" w:ascii="宋体" w:hAnsi="宋体" w:eastAsia="宋体"/>
                <w:b w:val="0"/>
                <w:bCs w:val="0"/>
                <w:sz w:val="24"/>
                <w:szCs w:val="32"/>
                <w:vertAlign w:val="baseline"/>
                <w:lang w:val="en-US" w:eastAsia="zh-CN"/>
              </w:rPr>
            </w:pPr>
            <w:r>
              <w:rPr>
                <w:rFonts w:hint="eastAsia" w:ascii="宋体" w:hAnsi="宋体" w:eastAsia="宋体"/>
                <w:b w:val="0"/>
                <w:bCs w:val="0"/>
                <w:sz w:val="24"/>
                <w:szCs w:val="32"/>
                <w:vertAlign w:val="baseline"/>
                <w:lang w:val="en-US" w:eastAsia="zh-CN"/>
              </w:rPr>
              <w:t>1</w:t>
            </w:r>
          </w:p>
        </w:tc>
        <w:tc>
          <w:tcPr>
            <w:tcW w:w="2130" w:type="dxa"/>
            <w:vAlign w:val="center"/>
          </w:tcPr>
          <w:p>
            <w:pPr>
              <w:numPr>
                <w:ilvl w:val="0"/>
                <w:numId w:val="0"/>
              </w:numPr>
              <w:jc w:val="center"/>
              <w:rPr>
                <w:rFonts w:hint="eastAsia" w:ascii="宋体" w:hAnsi="宋体" w:eastAsia="宋体"/>
                <w:b w:val="0"/>
                <w:bCs w:val="0"/>
                <w:sz w:val="24"/>
                <w:szCs w:val="32"/>
                <w:vertAlign w:val="baseline"/>
                <w:lang w:val="en-US" w:eastAsia="zh-CN"/>
              </w:rPr>
            </w:pPr>
            <w:r>
              <w:rPr>
                <w:rFonts w:hint="eastAsia" w:ascii="宋体" w:hAnsi="宋体" w:eastAsia="宋体"/>
                <w:b w:val="0"/>
                <w:bCs w:val="0"/>
                <w:sz w:val="24"/>
                <w:szCs w:val="32"/>
                <w:vertAlign w:val="baseli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9" w:type="dxa"/>
            <w:vAlign w:val="center"/>
          </w:tcPr>
          <w:p>
            <w:pPr>
              <w:numPr>
                <w:ilvl w:val="0"/>
                <w:numId w:val="0"/>
              </w:numPr>
              <w:jc w:val="center"/>
              <w:rPr>
                <w:rFonts w:hint="default" w:ascii="宋体" w:hAnsi="宋体" w:eastAsia="宋体"/>
                <w:sz w:val="24"/>
                <w:szCs w:val="32"/>
                <w:vertAlign w:val="baseline"/>
                <w:lang w:val="en-US" w:eastAsia="zh-CN"/>
              </w:rPr>
            </w:pPr>
            <w:r>
              <w:rPr>
                <w:rFonts w:hint="eastAsia" w:ascii="宋体" w:hAnsi="宋体" w:eastAsia="宋体"/>
                <w:sz w:val="24"/>
                <w:szCs w:val="32"/>
                <w:vertAlign w:val="baseline"/>
                <w:lang w:val="en-US" w:eastAsia="zh-CN"/>
              </w:rPr>
              <w:t>2</w:t>
            </w:r>
          </w:p>
        </w:tc>
        <w:tc>
          <w:tcPr>
            <w:tcW w:w="2130" w:type="dxa"/>
            <w:vAlign w:val="center"/>
          </w:tcPr>
          <w:p>
            <w:pPr>
              <w:numPr>
                <w:ilvl w:val="0"/>
                <w:numId w:val="0"/>
              </w:numPr>
              <w:jc w:val="center"/>
              <w:rPr>
                <w:rFonts w:hint="default" w:ascii="宋体" w:hAnsi="宋体" w:eastAsia="宋体"/>
                <w:sz w:val="24"/>
                <w:szCs w:val="32"/>
                <w:vertAlign w:val="baseline"/>
                <w:lang w:val="en-US" w:eastAsia="zh-CN"/>
              </w:rPr>
            </w:pPr>
            <w:r>
              <w:rPr>
                <w:rFonts w:hint="eastAsia" w:ascii="宋体" w:hAnsi="宋体" w:eastAsia="宋体"/>
                <w:sz w:val="24"/>
                <w:szCs w:val="32"/>
                <w:vertAlign w:val="baseline"/>
                <w:lang w:val="en-US" w:eastAsia="zh-CN"/>
              </w:rPr>
              <w:t>抛丸机</w:t>
            </w:r>
          </w:p>
        </w:tc>
        <w:tc>
          <w:tcPr>
            <w:tcW w:w="2130" w:type="dxa"/>
            <w:vAlign w:val="center"/>
          </w:tcPr>
          <w:p>
            <w:pPr>
              <w:numPr>
                <w:ilvl w:val="0"/>
                <w:numId w:val="0"/>
              </w:numPr>
              <w:jc w:val="center"/>
              <w:rPr>
                <w:rFonts w:hint="default" w:ascii="宋体" w:hAnsi="宋体" w:eastAsia="宋体"/>
                <w:sz w:val="24"/>
                <w:szCs w:val="32"/>
                <w:vertAlign w:val="baseline"/>
                <w:lang w:val="en-US" w:eastAsia="zh-CN"/>
              </w:rPr>
            </w:pPr>
            <w:r>
              <w:rPr>
                <w:rFonts w:hint="eastAsia" w:ascii="宋体" w:hAnsi="宋体" w:eastAsia="宋体"/>
                <w:sz w:val="24"/>
                <w:szCs w:val="32"/>
                <w:vertAlign w:val="baseline"/>
                <w:lang w:val="en-US" w:eastAsia="zh-CN"/>
              </w:rPr>
              <w:t>2</w:t>
            </w:r>
          </w:p>
        </w:tc>
        <w:tc>
          <w:tcPr>
            <w:tcW w:w="2130" w:type="dxa"/>
            <w:vAlign w:val="center"/>
          </w:tcPr>
          <w:p>
            <w:pPr>
              <w:numPr>
                <w:ilvl w:val="0"/>
                <w:numId w:val="0"/>
              </w:numPr>
              <w:jc w:val="center"/>
              <w:rPr>
                <w:rFonts w:hint="default" w:ascii="宋体" w:hAnsi="宋体" w:eastAsia="宋体"/>
                <w:sz w:val="24"/>
                <w:szCs w:val="32"/>
                <w:vertAlign w:val="baseline"/>
                <w:lang w:val="en-US" w:eastAsia="zh-CN"/>
              </w:rPr>
            </w:pPr>
            <w:r>
              <w:rPr>
                <w:rFonts w:hint="eastAsia" w:ascii="宋体" w:hAnsi="宋体" w:eastAsia="宋体"/>
                <w:sz w:val="24"/>
                <w:szCs w:val="32"/>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9" w:type="dxa"/>
            <w:vAlign w:val="center"/>
          </w:tcPr>
          <w:p>
            <w:pPr>
              <w:numPr>
                <w:ilvl w:val="0"/>
                <w:numId w:val="0"/>
              </w:numPr>
              <w:jc w:val="center"/>
              <w:rPr>
                <w:rFonts w:hint="default" w:ascii="宋体" w:hAnsi="宋体" w:eastAsia="宋体"/>
                <w:sz w:val="24"/>
                <w:szCs w:val="32"/>
                <w:vertAlign w:val="baseline"/>
                <w:lang w:val="en-US" w:eastAsia="zh-CN"/>
              </w:rPr>
            </w:pPr>
            <w:r>
              <w:rPr>
                <w:rFonts w:hint="eastAsia" w:ascii="宋体" w:hAnsi="宋体" w:eastAsia="宋体"/>
                <w:sz w:val="24"/>
                <w:szCs w:val="32"/>
                <w:vertAlign w:val="baseline"/>
                <w:lang w:val="en-US" w:eastAsia="zh-CN"/>
              </w:rPr>
              <w:t>3</w:t>
            </w:r>
          </w:p>
        </w:tc>
        <w:tc>
          <w:tcPr>
            <w:tcW w:w="2130" w:type="dxa"/>
            <w:vAlign w:val="center"/>
          </w:tcPr>
          <w:p>
            <w:pPr>
              <w:numPr>
                <w:ilvl w:val="0"/>
                <w:numId w:val="0"/>
              </w:numPr>
              <w:jc w:val="center"/>
              <w:rPr>
                <w:rFonts w:hint="default" w:ascii="宋体" w:hAnsi="宋体" w:eastAsia="宋体"/>
                <w:sz w:val="24"/>
                <w:szCs w:val="32"/>
                <w:vertAlign w:val="baseline"/>
                <w:lang w:val="en-US" w:eastAsia="zh-CN"/>
              </w:rPr>
            </w:pPr>
            <w:r>
              <w:rPr>
                <w:rFonts w:hint="eastAsia" w:ascii="宋体" w:hAnsi="宋体" w:eastAsia="宋体"/>
                <w:sz w:val="24"/>
                <w:szCs w:val="32"/>
                <w:vertAlign w:val="baseline"/>
                <w:lang w:val="en-US" w:eastAsia="zh-CN"/>
              </w:rPr>
              <w:t>喷粉设备</w:t>
            </w:r>
          </w:p>
        </w:tc>
        <w:tc>
          <w:tcPr>
            <w:tcW w:w="2130" w:type="dxa"/>
            <w:vAlign w:val="center"/>
          </w:tcPr>
          <w:p>
            <w:pPr>
              <w:numPr>
                <w:ilvl w:val="0"/>
                <w:numId w:val="0"/>
              </w:numPr>
              <w:jc w:val="center"/>
              <w:rPr>
                <w:rFonts w:hint="default" w:ascii="宋体" w:hAnsi="宋体" w:eastAsia="宋体"/>
                <w:sz w:val="24"/>
                <w:szCs w:val="32"/>
                <w:vertAlign w:val="baseline"/>
                <w:lang w:val="en-US" w:eastAsia="zh-CN"/>
              </w:rPr>
            </w:pPr>
            <w:r>
              <w:rPr>
                <w:rFonts w:hint="eastAsia" w:ascii="宋体" w:hAnsi="宋体" w:eastAsia="宋体"/>
                <w:sz w:val="24"/>
                <w:szCs w:val="32"/>
                <w:vertAlign w:val="baseline"/>
                <w:lang w:val="en-US" w:eastAsia="zh-CN"/>
              </w:rPr>
              <w:t>1</w:t>
            </w:r>
          </w:p>
        </w:tc>
        <w:tc>
          <w:tcPr>
            <w:tcW w:w="2130" w:type="dxa"/>
            <w:vAlign w:val="center"/>
          </w:tcPr>
          <w:p>
            <w:pPr>
              <w:numPr>
                <w:ilvl w:val="0"/>
                <w:numId w:val="0"/>
              </w:numPr>
              <w:jc w:val="center"/>
              <w:rPr>
                <w:rFonts w:hint="default" w:ascii="宋体" w:hAnsi="宋体" w:eastAsia="宋体"/>
                <w:sz w:val="24"/>
                <w:szCs w:val="32"/>
                <w:vertAlign w:val="baseline"/>
                <w:lang w:val="en-US" w:eastAsia="zh-CN"/>
              </w:rPr>
            </w:pPr>
            <w:r>
              <w:rPr>
                <w:rFonts w:hint="eastAsia" w:ascii="宋体" w:hAnsi="宋体" w:eastAsia="宋体"/>
                <w:sz w:val="24"/>
                <w:szCs w:val="32"/>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9" w:type="dxa"/>
            <w:vAlign w:val="center"/>
          </w:tcPr>
          <w:p>
            <w:pPr>
              <w:numPr>
                <w:ilvl w:val="0"/>
                <w:numId w:val="0"/>
              </w:numPr>
              <w:jc w:val="center"/>
              <w:rPr>
                <w:rFonts w:hint="default" w:ascii="宋体" w:hAnsi="宋体" w:eastAsia="宋体"/>
                <w:sz w:val="24"/>
                <w:szCs w:val="32"/>
                <w:vertAlign w:val="baseline"/>
                <w:lang w:val="en-US" w:eastAsia="zh-CN"/>
              </w:rPr>
            </w:pPr>
            <w:r>
              <w:rPr>
                <w:rFonts w:hint="eastAsia" w:ascii="宋体" w:hAnsi="宋体" w:eastAsia="宋体"/>
                <w:sz w:val="24"/>
                <w:szCs w:val="32"/>
                <w:vertAlign w:val="baseline"/>
                <w:lang w:val="en-US" w:eastAsia="zh-CN"/>
              </w:rPr>
              <w:t>4</w:t>
            </w:r>
          </w:p>
        </w:tc>
        <w:tc>
          <w:tcPr>
            <w:tcW w:w="2130" w:type="dxa"/>
            <w:vAlign w:val="center"/>
          </w:tcPr>
          <w:p>
            <w:pPr>
              <w:numPr>
                <w:ilvl w:val="0"/>
                <w:numId w:val="0"/>
              </w:numPr>
              <w:jc w:val="center"/>
              <w:rPr>
                <w:rFonts w:hint="default" w:ascii="宋体" w:hAnsi="宋体" w:eastAsia="宋体"/>
                <w:sz w:val="24"/>
                <w:szCs w:val="32"/>
                <w:vertAlign w:val="baseline"/>
                <w:lang w:val="en-US" w:eastAsia="zh-CN"/>
              </w:rPr>
            </w:pPr>
            <w:r>
              <w:rPr>
                <w:rFonts w:hint="eastAsia" w:ascii="宋体" w:hAnsi="宋体" w:eastAsia="宋体"/>
                <w:sz w:val="24"/>
                <w:szCs w:val="32"/>
                <w:vertAlign w:val="baseline"/>
                <w:lang w:val="en-US" w:eastAsia="zh-CN"/>
              </w:rPr>
              <w:t>烘干设备</w:t>
            </w:r>
          </w:p>
        </w:tc>
        <w:tc>
          <w:tcPr>
            <w:tcW w:w="2130" w:type="dxa"/>
            <w:vAlign w:val="center"/>
          </w:tcPr>
          <w:p>
            <w:pPr>
              <w:numPr>
                <w:ilvl w:val="0"/>
                <w:numId w:val="0"/>
              </w:numPr>
              <w:jc w:val="center"/>
              <w:rPr>
                <w:rFonts w:hint="default" w:ascii="宋体" w:hAnsi="宋体" w:eastAsia="宋体"/>
                <w:sz w:val="24"/>
                <w:szCs w:val="32"/>
                <w:vertAlign w:val="baseline"/>
                <w:lang w:val="en-US" w:eastAsia="zh-CN"/>
              </w:rPr>
            </w:pPr>
            <w:r>
              <w:rPr>
                <w:rFonts w:hint="eastAsia" w:ascii="宋体" w:hAnsi="宋体" w:eastAsia="宋体"/>
                <w:sz w:val="24"/>
                <w:szCs w:val="32"/>
                <w:vertAlign w:val="baseline"/>
                <w:lang w:val="en-US" w:eastAsia="zh-CN"/>
              </w:rPr>
              <w:t>1</w:t>
            </w:r>
          </w:p>
        </w:tc>
        <w:tc>
          <w:tcPr>
            <w:tcW w:w="2130" w:type="dxa"/>
            <w:vAlign w:val="center"/>
          </w:tcPr>
          <w:p>
            <w:pPr>
              <w:numPr>
                <w:ilvl w:val="0"/>
                <w:numId w:val="0"/>
              </w:numPr>
              <w:jc w:val="center"/>
              <w:rPr>
                <w:rFonts w:hint="default" w:ascii="宋体" w:hAnsi="宋体" w:eastAsia="宋体"/>
                <w:sz w:val="24"/>
                <w:szCs w:val="32"/>
                <w:vertAlign w:val="baseline"/>
                <w:lang w:val="en-US" w:eastAsia="zh-CN"/>
              </w:rPr>
            </w:pPr>
            <w:r>
              <w:rPr>
                <w:rFonts w:hint="eastAsia" w:ascii="宋体" w:hAnsi="宋体" w:eastAsia="宋体"/>
                <w:sz w:val="24"/>
                <w:szCs w:val="32"/>
                <w:vertAlign w:val="baseline"/>
                <w:lang w:val="en-US" w:eastAsia="zh-CN"/>
              </w:rPr>
              <w:t>套</w:t>
            </w:r>
          </w:p>
        </w:tc>
      </w:tr>
    </w:tbl>
    <w:p>
      <w:pPr>
        <w:numPr>
          <w:ilvl w:val="0"/>
          <w:numId w:val="1"/>
        </w:numPr>
        <w:ind w:left="0" w:leftChars="0" w:firstLine="0" w:firstLineChars="0"/>
        <w:rPr>
          <w:rFonts w:hint="eastAsia"/>
          <w:b/>
          <w:bCs/>
          <w:sz w:val="28"/>
          <w:szCs w:val="36"/>
          <w:lang w:val="en-US" w:eastAsia="zh-CN"/>
        </w:rPr>
      </w:pPr>
      <w:r>
        <w:rPr>
          <w:rFonts w:hint="eastAsia"/>
          <w:b/>
          <w:bCs/>
          <w:sz w:val="28"/>
          <w:szCs w:val="36"/>
          <w:lang w:val="en-US" w:eastAsia="zh-CN"/>
        </w:rPr>
        <w:t>预计建设年限</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b w:val="0"/>
          <w:bCs w:val="0"/>
          <w:sz w:val="28"/>
          <w:szCs w:val="36"/>
          <w:lang w:val="en-US" w:eastAsia="zh-CN"/>
        </w:rPr>
      </w:pPr>
      <w:r>
        <w:rPr>
          <w:rFonts w:hint="eastAsia"/>
          <w:b w:val="0"/>
          <w:bCs w:val="0"/>
          <w:sz w:val="28"/>
          <w:szCs w:val="36"/>
          <w:lang w:val="en-US" w:eastAsia="zh-CN"/>
        </w:rPr>
        <w:t>2020年6月1日-2020年8月30日</w:t>
      </w:r>
    </w:p>
    <w:p>
      <w:pPr>
        <w:numPr>
          <w:ilvl w:val="0"/>
          <w:numId w:val="1"/>
        </w:numPr>
        <w:ind w:left="0" w:leftChars="0" w:firstLine="0" w:firstLineChars="0"/>
        <w:rPr>
          <w:rFonts w:hint="default"/>
          <w:b/>
          <w:bCs/>
          <w:sz w:val="28"/>
          <w:szCs w:val="36"/>
          <w:lang w:val="en-US" w:eastAsia="zh-CN"/>
        </w:rPr>
      </w:pPr>
      <w:r>
        <w:rPr>
          <w:rFonts w:hint="eastAsia"/>
          <w:b/>
          <w:bCs/>
          <w:sz w:val="28"/>
          <w:szCs w:val="36"/>
          <w:lang w:val="en-US" w:eastAsia="zh-CN"/>
        </w:rPr>
        <w:t>联系方式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b w:val="0"/>
          <w:bCs w:val="0"/>
          <w:sz w:val="28"/>
          <w:szCs w:val="36"/>
          <w:lang w:val="en-US" w:eastAsia="zh-CN"/>
        </w:rPr>
      </w:pPr>
      <w:r>
        <w:rPr>
          <w:rFonts w:hint="eastAsia"/>
          <w:b w:val="0"/>
          <w:bCs w:val="0"/>
          <w:sz w:val="28"/>
          <w:szCs w:val="36"/>
          <w:lang w:val="en-US" w:eastAsia="zh-CN"/>
        </w:rPr>
        <w:t>法人：赵月强    联系电话：18601235502</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b w:val="0"/>
          <w:bCs w:val="0"/>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b w:val="0"/>
          <w:bCs w:val="0"/>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b w:val="0"/>
          <w:bCs w:val="0"/>
          <w:sz w:val="28"/>
          <w:szCs w:val="36"/>
          <w:lang w:val="en-US" w:eastAsia="zh-CN"/>
        </w:rPr>
      </w:pPr>
      <w:r>
        <w:rPr>
          <w:rFonts w:hint="eastAsia"/>
          <w:b w:val="0"/>
          <w:bCs w:val="0"/>
          <w:sz w:val="28"/>
          <w:szCs w:val="36"/>
          <w:lang w:val="en-US" w:eastAsia="zh-CN"/>
        </w:rPr>
        <w:t xml:space="preserve">                           河北光华荣昌汽车部件有限公司</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0" w:firstLineChars="2000"/>
        <w:textAlignment w:val="auto"/>
        <w:rPr>
          <w:rFonts w:hint="default"/>
          <w:b w:val="0"/>
          <w:bCs w:val="0"/>
          <w:sz w:val="28"/>
          <w:szCs w:val="36"/>
          <w:lang w:val="en-US" w:eastAsia="zh-CN"/>
        </w:rPr>
      </w:pPr>
      <w:r>
        <w:rPr>
          <w:rFonts w:hint="eastAsia"/>
          <w:b w:val="0"/>
          <w:bCs w:val="0"/>
          <w:sz w:val="28"/>
          <w:szCs w:val="36"/>
          <w:lang w:val="en-US" w:eastAsia="zh-CN"/>
        </w:rPr>
        <w:t>2020年4月3日</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PMingLiU">
    <w:panose1 w:val="02020300000000000000"/>
    <w:charset w:val="88"/>
    <w:family w:val="roman"/>
    <w:pitch w:val="default"/>
    <w:sig w:usb0="00000003" w:usb1="082E0000" w:usb2="00000016" w:usb3="00000000" w:csb0="00100001"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BBF9F"/>
    <w:multiLevelType w:val="singleLevel"/>
    <w:tmpl w:val="604BBF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86523"/>
    <w:rsid w:val="19035CBB"/>
    <w:rsid w:val="32A954D3"/>
    <w:rsid w:val="49954CA4"/>
    <w:rsid w:val="55004408"/>
    <w:rsid w:val="79DC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2020-03-19T07:43:00Z</dcterms:created>
  <dc:creator>Administrator</dc:creator>
  <cp:lastModifiedBy>Administrator</cp:lastModifiedBy>
  <dcterms:modified xsi:type="dcterms:W3CDTF">2020-04-03T02:45:46Z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