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0" w:firstLineChars="1050"/>
        <w:rPr>
          <w:rFonts w:ascii="华文新魏" w:hAnsi="宋体" w:eastAsia="华文新魏"/>
          <w:sz w:val="47"/>
          <w:szCs w:val="47"/>
        </w:rPr>
      </w:pPr>
      <w:r>
        <w:rPr>
          <w:sz w:val="40"/>
          <w:szCs w:val="40"/>
        </w:rPr>
        <w:drawing>
          <wp:anchor distT="0" distB="0" distL="114300" distR="114300" simplePos="0" relativeHeight="251660288" behindDoc="0" locked="0" layoutInCell="1" allowOverlap="1">
            <wp:simplePos x="0" y="0"/>
            <wp:positionH relativeFrom="column">
              <wp:posOffset>409575</wp:posOffset>
            </wp:positionH>
            <wp:positionV relativeFrom="paragraph">
              <wp:posOffset>-129540</wp:posOffset>
            </wp:positionV>
            <wp:extent cx="1285875" cy="650875"/>
            <wp:effectExtent l="19050" t="0" r="9525" b="0"/>
            <wp:wrapNone/>
            <wp:docPr id="2" name="图片 2" descr="光华荣昌修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光华荣昌修改"/>
                    <pic:cNvPicPr>
                      <a:picLocks noChangeAspect="1" noChangeArrowheads="1"/>
                    </pic:cNvPicPr>
                  </pic:nvPicPr>
                  <pic:blipFill>
                    <a:blip r:embed="rId5" cstate="print"/>
                    <a:srcRect/>
                    <a:stretch>
                      <a:fillRect/>
                    </a:stretch>
                  </pic:blipFill>
                  <pic:spPr>
                    <a:xfrm>
                      <a:off x="0" y="0"/>
                      <a:ext cx="1285875" cy="650875"/>
                    </a:xfrm>
                    <a:prstGeom prst="rect">
                      <a:avLst/>
                    </a:prstGeom>
                    <a:noFill/>
                    <a:ln w="9525">
                      <a:noFill/>
                      <a:miter lim="800000"/>
                      <a:headEnd/>
                      <a:tailEnd/>
                    </a:ln>
                  </pic:spPr>
                </pic:pic>
              </a:graphicData>
            </a:graphic>
          </wp:anchor>
        </w:drawing>
      </w:r>
      <w:r>
        <w:rPr>
          <w:rFonts w:hint="eastAsia" w:ascii="宋体" w:hAnsi="宋体"/>
          <w:sz w:val="47"/>
          <w:szCs w:val="47"/>
        </w:rPr>
        <w:t>工作联系函</w:t>
      </w:r>
    </w:p>
    <w:p>
      <w:pPr>
        <w:spacing w:line="400" w:lineRule="exact"/>
        <w:ind w:right="-6"/>
        <w:rPr>
          <w:rFonts w:hint="default" w:ascii="宋体" w:hAnsi="宋体" w:eastAsia="宋体"/>
          <w:sz w:val="22"/>
          <w:szCs w:val="22"/>
          <w:lang w:val="en-US" w:eastAsia="zh-CN"/>
        </w:rPr>
      </w:pPr>
      <w:r>
        <w:rPr>
          <w:rFonts w:hint="eastAsia"/>
          <w:sz w:val="19"/>
          <w:szCs w:val="19"/>
        </w:rPr>
        <w:t xml:space="preserve">                                                                           </w:t>
      </w:r>
      <w:r>
        <w:rPr>
          <w:rFonts w:hint="eastAsia" w:ascii="宋体" w:hAnsi="宋体"/>
          <w:sz w:val="22"/>
          <w:szCs w:val="22"/>
        </w:rPr>
        <w:t xml:space="preserve">编号：ghrc- </w:t>
      </w:r>
      <w:r>
        <w:rPr>
          <w:rFonts w:ascii="宋体" w:hAnsi="宋体"/>
          <w:sz w:val="22"/>
          <w:szCs w:val="22"/>
        </w:rPr>
        <w:t>20</w:t>
      </w:r>
      <w:r>
        <w:rPr>
          <w:rFonts w:hint="eastAsia" w:ascii="宋体" w:hAnsi="宋体"/>
          <w:sz w:val="22"/>
          <w:szCs w:val="22"/>
        </w:rPr>
        <w:t>20</w:t>
      </w:r>
      <w:r>
        <w:rPr>
          <w:rFonts w:ascii="宋体" w:hAnsi="宋体"/>
          <w:sz w:val="22"/>
          <w:szCs w:val="22"/>
        </w:rPr>
        <w:t>-</w:t>
      </w:r>
      <w:r>
        <w:rPr>
          <w:rFonts w:hint="eastAsia" w:ascii="宋体" w:hAnsi="宋体"/>
          <w:sz w:val="22"/>
          <w:szCs w:val="22"/>
        </w:rPr>
        <w:t>04</w:t>
      </w:r>
      <w:r>
        <w:rPr>
          <w:rFonts w:ascii="宋体" w:hAnsi="宋体"/>
          <w:sz w:val="22"/>
          <w:szCs w:val="22"/>
        </w:rPr>
        <w:t>-</w:t>
      </w:r>
      <w:r>
        <w:rPr>
          <w:rFonts w:hint="eastAsia" w:ascii="宋体" w:hAnsi="宋体"/>
          <w:sz w:val="22"/>
          <w:szCs w:val="22"/>
          <w:lang w:val="en-US" w:eastAsia="zh-CN"/>
        </w:rPr>
        <w:t>28</w:t>
      </w:r>
    </w:p>
    <w:tbl>
      <w:tblPr>
        <w:tblStyle w:val="5"/>
        <w:tblW w:w="9524" w:type="dxa"/>
        <w:jc w:val="center"/>
        <w:tblBorders>
          <w:top w:val="wave" w:color="auto" w:sz="6" w:space="0"/>
          <w:left w:val="wave" w:color="auto" w:sz="6" w:space="0"/>
          <w:bottom w:val="wave" w:color="auto" w:sz="6" w:space="0"/>
          <w:right w:val="wave" w:color="auto" w:sz="6" w:space="0"/>
          <w:insideH w:val="wave" w:color="auto" w:sz="6" w:space="0"/>
          <w:insideV w:val="wave" w:color="auto" w:sz="6" w:space="0"/>
        </w:tblBorders>
        <w:tblLayout w:type="autofit"/>
        <w:tblCellMar>
          <w:top w:w="0" w:type="dxa"/>
          <w:left w:w="108" w:type="dxa"/>
          <w:bottom w:w="0" w:type="dxa"/>
          <w:right w:w="108" w:type="dxa"/>
        </w:tblCellMar>
      </w:tblPr>
      <w:tblGrid>
        <w:gridCol w:w="9524"/>
      </w:tblGrid>
      <w:tr>
        <w:tblPrEx>
          <w:tblBorders>
            <w:top w:val="wave" w:color="auto" w:sz="6" w:space="0"/>
            <w:left w:val="wave" w:color="auto" w:sz="6" w:space="0"/>
            <w:bottom w:val="wave" w:color="auto" w:sz="6" w:space="0"/>
            <w:right w:val="wave" w:color="auto" w:sz="6" w:space="0"/>
            <w:insideH w:val="wave" w:color="auto" w:sz="6" w:space="0"/>
            <w:insideV w:val="wave" w:color="auto" w:sz="6" w:space="0"/>
          </w:tblBorders>
          <w:tblCellMar>
            <w:top w:w="0" w:type="dxa"/>
            <w:left w:w="108" w:type="dxa"/>
            <w:bottom w:w="0" w:type="dxa"/>
            <w:right w:w="108" w:type="dxa"/>
          </w:tblCellMar>
        </w:tblPrEx>
        <w:trPr>
          <w:trHeight w:val="159" w:hRule="atLeast"/>
          <w:jc w:val="center"/>
        </w:trPr>
        <w:tc>
          <w:tcPr>
            <w:tcW w:w="9524" w:type="dxa"/>
          </w:tcPr>
          <w:p>
            <w:pPr>
              <w:ind w:firstLine="964" w:firstLineChars="400"/>
              <w:rPr>
                <w:sz w:val="22"/>
                <w:szCs w:val="22"/>
              </w:rPr>
            </w:pPr>
            <w:r>
              <w:rPr>
                <w:rFonts w:hint="eastAsia" w:ascii="黑体" w:eastAsia="黑体"/>
                <w:b/>
                <w:sz w:val="24"/>
              </w:rPr>
              <w:t>■</w:t>
            </w:r>
            <w:r>
              <w:rPr>
                <w:rFonts w:hint="eastAsia"/>
                <w:sz w:val="22"/>
                <w:szCs w:val="22"/>
              </w:rPr>
              <w:t xml:space="preserve">申请          </w:t>
            </w:r>
            <w:r>
              <w:rPr>
                <w:rFonts w:hint="eastAsia" w:ascii="黑体" w:eastAsia="黑体"/>
                <w:b/>
                <w:sz w:val="24"/>
              </w:rPr>
              <w:t xml:space="preserve"> </w:t>
            </w:r>
            <w:r>
              <w:rPr>
                <w:rFonts w:hint="eastAsia"/>
                <w:sz w:val="22"/>
                <w:szCs w:val="22"/>
              </w:rPr>
              <w:t>□</w:t>
            </w:r>
            <w:r>
              <w:rPr>
                <w:rFonts w:hint="eastAsia" w:ascii="黑体" w:eastAsia="黑体"/>
                <w:b/>
                <w:sz w:val="24"/>
              </w:rPr>
              <w:t xml:space="preserve"> </w:t>
            </w:r>
            <w:r>
              <w:rPr>
                <w:rFonts w:hint="eastAsia"/>
                <w:sz w:val="22"/>
                <w:szCs w:val="22"/>
              </w:rPr>
              <w:t xml:space="preserve">通知 </w:t>
            </w:r>
            <w:r>
              <w:rPr>
                <w:rFonts w:hint="eastAsia" w:ascii="黑体" w:eastAsia="黑体"/>
                <w:b/>
                <w:sz w:val="24"/>
              </w:rPr>
              <w:t xml:space="preserve">    </w:t>
            </w:r>
            <w:r>
              <w:rPr>
                <w:rFonts w:hint="eastAsia"/>
                <w:sz w:val="22"/>
                <w:szCs w:val="22"/>
              </w:rPr>
              <w:t xml:space="preserve">     □通报            □报告 </w:t>
            </w:r>
          </w:p>
        </w:tc>
      </w:tr>
    </w:tbl>
    <w:p>
      <w:pPr>
        <w:jc w:val="center"/>
        <w:rPr>
          <w:rFonts w:ascii="宋体" w:hAnsi="宋体"/>
          <w:b/>
          <w:sz w:val="28"/>
        </w:rPr>
      </w:pPr>
      <w:r>
        <w:rPr>
          <w:rFonts w:hint="eastAsia"/>
          <w:b/>
          <w:sz w:val="30"/>
          <w:szCs w:val="30"/>
        </w:rPr>
        <w:t>主题：</w:t>
      </w:r>
      <w:r>
        <w:rPr>
          <w:rFonts w:ascii="宋体" w:hAnsi="宋体"/>
          <w:b/>
          <w:sz w:val="28"/>
        </w:rPr>
        <w:t xml:space="preserve"> </w:t>
      </w:r>
      <w:r>
        <w:rPr>
          <w:rFonts w:hint="eastAsia" w:ascii="宋体" w:hAnsi="宋体"/>
          <w:b/>
          <w:sz w:val="28"/>
        </w:rPr>
        <w:t>关于</w:t>
      </w:r>
      <w:r>
        <w:rPr>
          <w:rFonts w:hint="eastAsia" w:ascii="宋体" w:hAnsi="宋体"/>
          <w:b/>
          <w:sz w:val="28"/>
          <w:lang w:eastAsia="zh-CN"/>
        </w:rPr>
        <w:t>按照新法规</w:t>
      </w:r>
      <w:r>
        <w:rPr>
          <w:rFonts w:hint="eastAsia" w:ascii="宋体" w:hAnsi="宋体"/>
          <w:b/>
          <w:sz w:val="28"/>
          <w:lang w:val="en-US" w:eastAsia="zh-CN"/>
        </w:rPr>
        <w:t>GB15083-2019进行强检实验</w:t>
      </w:r>
      <w:r>
        <w:rPr>
          <w:rFonts w:hint="eastAsia" w:ascii="宋体" w:hAnsi="宋体"/>
          <w:b/>
          <w:sz w:val="28"/>
        </w:rPr>
        <w:t>申请</w:t>
      </w:r>
    </w:p>
    <w:p/>
    <w:tbl>
      <w:tblPr>
        <w:tblStyle w:val="5"/>
        <w:tblW w:w="9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6" w:hRule="atLeast"/>
          <w:jc w:val="center"/>
        </w:trPr>
        <w:tc>
          <w:tcPr>
            <w:tcW w:w="9674" w:type="dxa"/>
          </w:tcPr>
          <w:p>
            <w:pPr>
              <w:ind w:left="4200" w:hanging="4200" w:hangingChars="2000"/>
              <w:rPr>
                <w:rFonts w:hint="eastAsia" w:ascii="宋体" w:hAnsi="宋体"/>
                <w:kern w:val="0"/>
                <w:szCs w:val="21"/>
                <w:lang w:eastAsia="zh-CN"/>
              </w:rPr>
            </w:pPr>
          </w:p>
          <w:p>
            <w:pPr>
              <w:ind w:left="4200" w:hanging="4200" w:hangingChars="2000"/>
              <w:rPr>
                <w:rFonts w:hint="eastAsia" w:ascii="宋体" w:hAnsi="宋体"/>
                <w:kern w:val="0"/>
                <w:szCs w:val="21"/>
                <w:lang w:eastAsia="zh-CN"/>
              </w:rPr>
            </w:pPr>
            <w:r>
              <w:rPr>
                <w:rFonts w:hint="eastAsia" w:ascii="宋体" w:hAnsi="宋体"/>
                <w:kern w:val="0"/>
                <w:szCs w:val="21"/>
                <w:lang w:eastAsia="zh-CN"/>
              </w:rPr>
              <w:t>公司领导：</w:t>
            </w:r>
          </w:p>
          <w:p>
            <w:pPr>
              <w:widowControl/>
              <w:numPr>
                <w:ilvl w:val="0"/>
                <w:numId w:val="0"/>
              </w:numPr>
              <w:spacing w:line="240" w:lineRule="auto"/>
              <w:ind w:firstLine="840" w:firstLineChars="400"/>
              <w:jc w:val="left"/>
              <w:rPr>
                <w:rFonts w:ascii="Arial" w:hAnsi="Arial" w:cs="Arial"/>
                <w:color w:val="000000"/>
                <w:kern w:val="0"/>
                <w:szCs w:val="21"/>
              </w:rPr>
            </w:pPr>
            <w:r>
              <w:rPr>
                <w:rFonts w:hint="eastAsia" w:ascii="宋体" w:hAnsi="宋体"/>
                <w:kern w:val="0"/>
                <w:szCs w:val="21"/>
                <w:lang w:val="en-US" w:eastAsia="zh-CN"/>
              </w:rPr>
              <w:t>2020年4月21日，接陕汽物资采购中心通知要求</w:t>
            </w:r>
            <w:r>
              <w:rPr>
                <w:rFonts w:hint="eastAsia" w:ascii="宋体" w:hAnsi="宋体"/>
                <w:kern w:val="0"/>
                <w:szCs w:val="21"/>
              </w:rPr>
              <w:t>，</w:t>
            </w:r>
            <w:r>
              <w:rPr>
                <w:rFonts w:hint="eastAsia" w:ascii="宋体" w:hAnsi="宋体"/>
                <w:kern w:val="0"/>
                <w:szCs w:val="21"/>
                <w:lang w:eastAsia="zh-CN"/>
              </w:rPr>
              <w:t>关于汽车座椅及座椅要求按照</w:t>
            </w:r>
            <w:r>
              <w:rPr>
                <w:rFonts w:hint="eastAsia" w:ascii="宋体" w:hAnsi="宋体"/>
                <w:kern w:val="0"/>
                <w:szCs w:val="21"/>
                <w:lang w:val="en-US" w:eastAsia="zh-CN"/>
              </w:rPr>
              <w:t>GB 15083-2019新法规出具强检报告、自我声明证书及转换零部件清单，零部件转换清单于4月28日已完成提交；现需完成强检报告及自我声明（GB 15083-2019新法规需提前完成后才能进行自我声明），要求完成时间5月30日</w:t>
            </w:r>
            <w:r>
              <w:rPr>
                <w:rFonts w:ascii="Arial" w:hAnsi="Arial" w:cs="Arial"/>
                <w:color w:val="000000"/>
                <w:kern w:val="0"/>
                <w:szCs w:val="21"/>
              </w:rPr>
              <w:t>。</w:t>
            </w:r>
          </w:p>
          <w:p>
            <w:pPr>
              <w:spacing w:line="240" w:lineRule="auto"/>
              <w:ind w:left="0" w:leftChars="0" w:firstLine="0" w:firstLineChars="0"/>
              <w:rPr>
                <w:rFonts w:hint="eastAsia" w:ascii="宋体" w:hAnsi="宋体"/>
                <w:kern w:val="0"/>
                <w:szCs w:val="21"/>
                <w:lang w:val="en-US" w:eastAsia="zh-CN"/>
              </w:rPr>
            </w:pPr>
            <w:r>
              <w:rPr>
                <w:rFonts w:hint="eastAsia" w:ascii="宋体" w:hAnsi="宋体"/>
                <w:kern w:val="0"/>
                <w:szCs w:val="21"/>
                <w:lang w:val="en-US" w:eastAsia="zh-CN"/>
              </w:rPr>
              <w:t xml:space="preserve">        目前我公司产品共计18个单元，根据装车尺寸，可分为F3000、L3000、轩德系列，国家工程质量监督检验中心和国家轿车质量监督检验中心，分别报价，如下：</w:t>
            </w:r>
          </w:p>
          <w:p>
            <w:pPr>
              <w:ind w:firstLine="840" w:firstLineChars="400"/>
              <w:jc w:val="both"/>
              <w:rPr>
                <w:rFonts w:hint="eastAsia" w:ascii="宋体" w:hAnsi="宋体"/>
                <w:kern w:val="0"/>
                <w:sz w:val="21"/>
                <w:szCs w:val="21"/>
                <w:vertAlign w:val="baseline"/>
                <w:lang w:val="en-US" w:eastAsia="zh-CN"/>
              </w:rPr>
            </w:pPr>
            <w:r>
              <w:rPr>
                <w:rFonts w:hint="eastAsia" w:ascii="宋体" w:hAnsi="宋体"/>
                <w:kern w:val="0"/>
                <w:szCs w:val="21"/>
                <w:lang w:val="en-US" w:eastAsia="zh-CN"/>
              </w:rPr>
              <w:t>国家轿车质量监督检验中心</w:t>
            </w:r>
            <w:r>
              <w:rPr>
                <w:rFonts w:hint="eastAsia" w:ascii="宋体" w:hAnsi="宋体"/>
                <w:b/>
                <w:bCs/>
                <w:kern w:val="0"/>
                <w:szCs w:val="21"/>
                <w:lang w:val="en-US" w:eastAsia="zh-CN"/>
              </w:rPr>
              <w:t>{中汽研汽车检验中心（天津）有限公司}</w:t>
            </w:r>
            <w:r>
              <w:rPr>
                <w:rFonts w:hint="eastAsia" w:ascii="宋体" w:hAnsi="宋体"/>
                <w:kern w:val="0"/>
                <w:szCs w:val="21"/>
                <w:lang w:val="en-US" w:eastAsia="zh-CN"/>
              </w:rPr>
              <w:t>：</w:t>
            </w:r>
            <w:r>
              <w:rPr>
                <w:rFonts w:hint="eastAsia" w:ascii="宋体" w:hAnsi="宋体"/>
                <w:kern w:val="0"/>
                <w:sz w:val="21"/>
                <w:szCs w:val="21"/>
                <w:vertAlign w:val="baseline"/>
                <w:lang w:val="en-US" w:eastAsia="zh-CN"/>
              </w:rPr>
              <w:t>其中包括整车发车、扩展发车、总成强度、靠背强度、</w:t>
            </w:r>
          </w:p>
          <w:p>
            <w:pPr>
              <w:spacing w:line="240" w:lineRule="auto"/>
              <w:rPr>
                <w:rFonts w:hint="default" w:ascii="宋体" w:hAnsi="宋体"/>
                <w:kern w:val="0"/>
                <w:szCs w:val="21"/>
                <w:lang w:val="en-US" w:eastAsia="zh-CN"/>
              </w:rPr>
            </w:pPr>
            <w:r>
              <w:rPr>
                <w:rFonts w:hint="eastAsia" w:ascii="宋体" w:hAnsi="宋体"/>
                <w:kern w:val="0"/>
                <w:sz w:val="21"/>
                <w:szCs w:val="21"/>
                <w:vertAlign w:val="baseline"/>
                <w:lang w:val="en-US" w:eastAsia="zh-CN"/>
              </w:rPr>
              <w:t>座椅吸能性（不用做1500*18）、座椅工装、白车身加工、座椅样件各5套，</w:t>
            </w:r>
            <w:r>
              <w:rPr>
                <w:rFonts w:hint="eastAsia" w:ascii="宋体" w:hAnsi="宋体"/>
                <w:kern w:val="0"/>
                <w:szCs w:val="21"/>
                <w:lang w:val="en-US" w:eastAsia="zh-CN"/>
              </w:rPr>
              <w:t>共计</w:t>
            </w:r>
            <w:r>
              <w:rPr>
                <w:rFonts w:hint="eastAsia" w:ascii="宋体" w:hAnsi="宋体"/>
                <w:kern w:val="0"/>
                <w:sz w:val="21"/>
                <w:szCs w:val="21"/>
                <w:vertAlign w:val="baseline"/>
                <w:lang w:val="en-US" w:eastAsia="zh-CN"/>
              </w:rPr>
              <w:t>556200元（不包含座椅吸能511200元）。付款方式为电汇，付款后可出具实验报告（两周）</w:t>
            </w:r>
            <w:bookmarkStart w:id="0" w:name="_GoBack"/>
            <w:bookmarkEnd w:id="0"/>
            <w:r>
              <w:rPr>
                <w:rFonts w:hint="eastAsia" w:ascii="宋体" w:hAnsi="宋体"/>
                <w:kern w:val="0"/>
                <w:sz w:val="21"/>
                <w:szCs w:val="21"/>
                <w:vertAlign w:val="baseline"/>
                <w:lang w:val="en-US" w:eastAsia="zh-CN"/>
              </w:rPr>
              <w:t>。</w:t>
            </w:r>
          </w:p>
          <w:p>
            <w:pPr>
              <w:ind w:firstLine="840" w:firstLineChars="400"/>
              <w:jc w:val="both"/>
              <w:rPr>
                <w:rFonts w:hint="eastAsia" w:ascii="宋体" w:hAnsi="宋体"/>
                <w:kern w:val="0"/>
                <w:sz w:val="21"/>
                <w:szCs w:val="21"/>
                <w:vertAlign w:val="baseline"/>
                <w:lang w:val="en-US" w:eastAsia="zh-CN"/>
              </w:rPr>
            </w:pPr>
            <w:r>
              <w:rPr>
                <w:rFonts w:hint="eastAsia" w:ascii="宋体" w:hAnsi="宋体"/>
                <w:kern w:val="0"/>
                <w:szCs w:val="21"/>
                <w:lang w:val="en-US" w:eastAsia="zh-CN"/>
              </w:rPr>
              <w:t>国家工程质量监督检验中心</w:t>
            </w:r>
            <w:r>
              <w:rPr>
                <w:rFonts w:hint="eastAsia" w:ascii="宋体" w:hAnsi="宋体"/>
                <w:b/>
                <w:bCs/>
                <w:kern w:val="0"/>
                <w:szCs w:val="21"/>
                <w:lang w:val="en-US" w:eastAsia="zh-CN"/>
              </w:rPr>
              <w:t>{中机科（北京）车辆检测工程研究院有限公司}</w:t>
            </w:r>
            <w:r>
              <w:rPr>
                <w:rFonts w:hint="eastAsia" w:ascii="宋体" w:hAnsi="宋体"/>
                <w:kern w:val="0"/>
                <w:szCs w:val="21"/>
                <w:lang w:val="en-US" w:eastAsia="zh-CN"/>
              </w:rPr>
              <w:t>：</w:t>
            </w:r>
            <w:r>
              <w:rPr>
                <w:rFonts w:hint="eastAsia" w:ascii="宋体" w:hAnsi="宋体"/>
                <w:kern w:val="0"/>
                <w:sz w:val="21"/>
                <w:szCs w:val="21"/>
                <w:vertAlign w:val="baseline"/>
                <w:lang w:val="en-US" w:eastAsia="zh-CN"/>
              </w:rPr>
              <w:t>其中包括整车发车、扩展发车、总成强度、靠背强度、</w:t>
            </w:r>
          </w:p>
          <w:p>
            <w:pPr>
              <w:spacing w:line="240" w:lineRule="auto"/>
              <w:rPr>
                <w:rFonts w:hint="eastAsia" w:ascii="宋体" w:hAnsi="宋体"/>
                <w:kern w:val="0"/>
                <w:sz w:val="21"/>
                <w:szCs w:val="21"/>
                <w:vertAlign w:val="baseline"/>
                <w:lang w:val="en-US" w:eastAsia="zh-CN"/>
              </w:rPr>
            </w:pPr>
            <w:r>
              <w:rPr>
                <w:rFonts w:hint="eastAsia" w:ascii="宋体" w:hAnsi="宋体"/>
                <w:kern w:val="0"/>
                <w:sz w:val="21"/>
                <w:szCs w:val="21"/>
                <w:vertAlign w:val="baseline"/>
                <w:lang w:val="en-US" w:eastAsia="zh-CN"/>
              </w:rPr>
              <w:t>单排不做后向吸能性、（座椅工装、白车身加工费用已包含）座椅样件各2套，</w:t>
            </w:r>
            <w:r>
              <w:rPr>
                <w:rFonts w:hint="eastAsia" w:ascii="宋体" w:hAnsi="宋体"/>
                <w:kern w:val="0"/>
                <w:szCs w:val="21"/>
                <w:lang w:val="en-US" w:eastAsia="zh-CN"/>
              </w:rPr>
              <w:t>共计</w:t>
            </w:r>
            <w:r>
              <w:rPr>
                <w:rFonts w:hint="default" w:ascii="宋体" w:hAnsi="宋体"/>
                <w:kern w:val="0"/>
                <w:sz w:val="21"/>
                <w:szCs w:val="21"/>
                <w:vertAlign w:val="baseline"/>
                <w:lang w:val="en-US" w:eastAsia="zh-CN"/>
              </w:rPr>
              <w:t>511000</w:t>
            </w:r>
            <w:r>
              <w:rPr>
                <w:rFonts w:hint="eastAsia" w:ascii="宋体" w:hAnsi="宋体"/>
                <w:kern w:val="0"/>
                <w:sz w:val="21"/>
                <w:szCs w:val="21"/>
                <w:vertAlign w:val="baseline"/>
                <w:lang w:val="en-US" w:eastAsia="zh-CN"/>
              </w:rPr>
              <w:t>元。付款方式为电汇，承诺可先出具实验报告（两周），后进行付款。</w:t>
            </w:r>
          </w:p>
          <w:p>
            <w:pPr>
              <w:spacing w:line="240" w:lineRule="auto"/>
              <w:rPr>
                <w:rFonts w:hint="eastAsia" w:ascii="宋体" w:hAnsi="宋体"/>
                <w:kern w:val="0"/>
                <w:szCs w:val="21"/>
                <w:lang w:val="en-US" w:eastAsia="zh-CN"/>
              </w:rPr>
            </w:pPr>
            <w:r>
              <w:rPr>
                <w:rFonts w:hint="eastAsia" w:ascii="宋体" w:hAnsi="宋体"/>
                <w:kern w:val="0"/>
                <w:sz w:val="21"/>
                <w:szCs w:val="21"/>
                <w:vertAlign w:val="baseline"/>
                <w:lang w:val="en-US" w:eastAsia="zh-CN"/>
              </w:rPr>
              <w:t xml:space="preserve">        经对比，</w:t>
            </w:r>
            <w:r>
              <w:rPr>
                <w:rFonts w:hint="eastAsia" w:ascii="宋体" w:hAnsi="宋体"/>
                <w:kern w:val="0"/>
                <w:szCs w:val="21"/>
                <w:lang w:val="en-US" w:eastAsia="zh-CN"/>
              </w:rPr>
              <w:t>国家轿车质量监督检验中心报价相比国家工程质量监督检验中心报价相差200元，基本报价相同，但国家轿车质量监督检验中心无优惠政策，报价时已是最低价位，国家工程质量监督检验中心4月22日报价进行7折优惠，合计357700元，4月26日再次报价，可进行5.5折优惠，合计281050元，并承诺物流运输（顺丰到付）未超过1万元后，可减免运输费（预计6000元）。</w:t>
            </w:r>
            <w:r>
              <w:rPr>
                <w:rFonts w:hint="eastAsia" w:ascii="宋体" w:hAnsi="宋体"/>
                <w:kern w:val="0"/>
                <w:sz w:val="21"/>
                <w:szCs w:val="21"/>
                <w:vertAlign w:val="baseline"/>
                <w:lang w:val="en-US" w:eastAsia="zh-CN"/>
              </w:rPr>
              <w:t>付款方式为电汇，付款后可出具实验报告（两周）。</w:t>
            </w:r>
          </w:p>
          <w:p>
            <w:pPr>
              <w:spacing w:line="240" w:lineRule="auto"/>
              <w:rPr>
                <w:rFonts w:hint="default" w:ascii="宋体" w:hAnsi="宋体"/>
                <w:kern w:val="0"/>
                <w:szCs w:val="21"/>
                <w:lang w:val="en-US" w:eastAsia="zh-CN"/>
              </w:rPr>
            </w:pPr>
            <w:r>
              <w:rPr>
                <w:rFonts w:hint="eastAsia" w:ascii="宋体" w:hAnsi="宋体"/>
                <w:kern w:val="0"/>
                <w:szCs w:val="21"/>
                <w:lang w:val="en-US" w:eastAsia="zh-CN"/>
              </w:rPr>
              <w:t xml:space="preserve">        根据以上两家检验中心报价对比，建议</w:t>
            </w:r>
            <w:r>
              <w:rPr>
                <w:rFonts w:hint="eastAsia" w:ascii="宋体" w:hAnsi="宋体"/>
                <w:kern w:val="0"/>
                <w:szCs w:val="21"/>
                <w:lang w:eastAsia="zh-CN"/>
              </w:rPr>
              <w:t>按照</w:t>
            </w:r>
            <w:r>
              <w:rPr>
                <w:rFonts w:hint="eastAsia" w:ascii="宋体" w:hAnsi="宋体"/>
                <w:kern w:val="0"/>
                <w:szCs w:val="21"/>
                <w:lang w:val="en-US" w:eastAsia="zh-CN"/>
              </w:rPr>
              <w:t>GB 15083-2019新法规在国家工程质量监督检验中心</w:t>
            </w:r>
            <w:r>
              <w:rPr>
                <w:rFonts w:hint="eastAsia" w:ascii="宋体" w:hAnsi="宋体"/>
                <w:b/>
                <w:bCs/>
                <w:kern w:val="0"/>
                <w:szCs w:val="21"/>
                <w:lang w:val="en-US" w:eastAsia="zh-CN"/>
              </w:rPr>
              <w:t>{中机科（北京）车辆检测工程研究院有限公司}</w:t>
            </w:r>
            <w:r>
              <w:rPr>
                <w:rFonts w:hint="eastAsia" w:ascii="宋体" w:hAnsi="宋体"/>
                <w:kern w:val="0"/>
                <w:szCs w:val="21"/>
                <w:lang w:val="en-US" w:eastAsia="zh-CN"/>
              </w:rPr>
              <w:t>进行检测，请领导批示。</w:t>
            </w:r>
          </w:p>
          <w:p>
            <w:pPr>
              <w:spacing w:line="240" w:lineRule="auto"/>
              <w:rPr>
                <w:rFonts w:hint="default" w:ascii="宋体" w:hAnsi="宋体"/>
                <w:kern w:val="0"/>
                <w:szCs w:val="21"/>
                <w:lang w:val="en-US" w:eastAsia="zh-CN"/>
              </w:rPr>
            </w:pPr>
            <w:r>
              <w:rPr>
                <w:rFonts w:hint="eastAsia" w:ascii="宋体" w:hAnsi="宋体"/>
                <w:kern w:val="0"/>
                <w:szCs w:val="21"/>
                <w:lang w:val="en-US" w:eastAsia="zh-CN"/>
              </w:rPr>
              <w:t xml:space="preserve">        </w:t>
            </w:r>
          </w:p>
          <w:p>
            <w:pPr>
              <w:spacing w:line="240" w:lineRule="auto"/>
              <w:rPr>
                <w:rFonts w:hint="default" w:ascii="宋体" w:hAnsi="宋体"/>
                <w:kern w:val="0"/>
                <w:sz w:val="21"/>
                <w:szCs w:val="21"/>
                <w:vertAlign w:val="baseline"/>
                <w:lang w:val="en-US" w:eastAsia="zh-CN"/>
              </w:rPr>
            </w:pPr>
          </w:p>
          <w:p>
            <w:pPr>
              <w:spacing w:line="240" w:lineRule="auto"/>
              <w:ind w:left="0" w:leftChars="0" w:firstLine="0" w:firstLineChars="0"/>
              <w:rPr>
                <w:rFonts w:hint="default" w:ascii="宋体" w:hAnsi="宋体"/>
                <w:kern w:val="0"/>
                <w:szCs w:val="21"/>
                <w:lang w:val="en-US" w:eastAsia="zh-CN"/>
              </w:rPr>
            </w:pPr>
            <w:r>
              <w:rPr>
                <w:rFonts w:hint="eastAsia" w:ascii="宋体" w:hAnsi="宋体"/>
                <w:kern w:val="0"/>
                <w:szCs w:val="21"/>
                <w:lang w:val="en-US" w:eastAsia="zh-CN"/>
              </w:rPr>
              <w:t xml:space="preserve">  </w:t>
            </w:r>
          </w:p>
          <w:p>
            <w:pPr>
              <w:ind w:left="0" w:leftChars="0" w:firstLine="0" w:firstLineChars="0"/>
              <w:rPr>
                <w:rFonts w:hint="default" w:ascii="宋体" w:hAnsi="宋体"/>
                <w:kern w:val="0"/>
                <w:szCs w:val="21"/>
                <w:lang w:val="en-US" w:eastAsia="zh-CN"/>
              </w:rPr>
            </w:pPr>
          </w:p>
          <w:p>
            <w:pPr>
              <w:ind w:left="6400" w:hanging="6400" w:hangingChars="2000"/>
              <w:rPr>
                <w:rFonts w:ascii="宋体" w:hAnsi="宋体"/>
                <w:sz w:val="32"/>
                <w:szCs w:val="28"/>
              </w:rPr>
            </w:pPr>
          </w:p>
          <w:p>
            <w:pPr>
              <w:rPr>
                <w:rFonts w:hint="eastAsia" w:ascii="宋体" w:hAnsi="宋体"/>
                <w:sz w:val="32"/>
                <w:szCs w:val="28"/>
              </w:rPr>
            </w:pPr>
          </w:p>
          <w:p>
            <w:pPr>
              <w:rPr>
                <w:rFonts w:hint="eastAsia" w:ascii="宋体" w:hAnsi="宋体"/>
                <w:kern w:val="0"/>
                <w:szCs w:val="21"/>
              </w:rPr>
            </w:pPr>
            <w:r>
              <w:rPr>
                <w:rFonts w:hint="eastAsia" w:ascii="宋体" w:hAnsi="宋体"/>
                <w:sz w:val="32"/>
                <w:szCs w:val="28"/>
              </w:rPr>
              <w:t xml:space="preserve">                                 </w:t>
            </w:r>
            <w:r>
              <w:rPr>
                <w:rFonts w:hint="eastAsia" w:ascii="宋体" w:hAnsi="宋体"/>
                <w:kern w:val="0"/>
                <w:szCs w:val="21"/>
              </w:rPr>
              <w:t xml:space="preserve"> </w:t>
            </w:r>
          </w:p>
          <w:p>
            <w:pPr>
              <w:rPr>
                <w:rFonts w:hint="default" w:ascii="宋体" w:hAnsi="宋体" w:eastAsia="宋体"/>
                <w:kern w:val="0"/>
                <w:szCs w:val="21"/>
                <w:lang w:val="en-US" w:eastAsia="zh-CN"/>
              </w:rPr>
            </w:pPr>
            <w:r>
              <w:rPr>
                <w:rFonts w:hint="eastAsia" w:ascii="宋体" w:hAnsi="宋体"/>
                <w:kern w:val="0"/>
                <w:szCs w:val="21"/>
                <w:lang w:val="en-US" w:eastAsia="zh-CN"/>
              </w:rPr>
              <w:t xml:space="preserve">                                                            西安技术质量部</w:t>
            </w:r>
          </w:p>
          <w:p>
            <w:pPr>
              <w:rPr>
                <w:rFonts w:hint="eastAsia" w:ascii="宋体" w:hAnsi="宋体"/>
                <w:kern w:val="0"/>
                <w:szCs w:val="21"/>
              </w:rPr>
            </w:pPr>
            <w:r>
              <w:rPr>
                <w:rFonts w:hint="eastAsia" w:ascii="宋体" w:hAnsi="宋体"/>
                <w:kern w:val="0"/>
                <w:szCs w:val="21"/>
              </w:rPr>
              <w:t xml:space="preserve">                                                        </w:t>
            </w:r>
            <w:r>
              <w:rPr>
                <w:rFonts w:hint="eastAsia" w:ascii="宋体" w:hAnsi="宋体"/>
                <w:kern w:val="0"/>
                <w:szCs w:val="21"/>
                <w:lang w:val="en-US" w:eastAsia="zh-CN"/>
              </w:rPr>
              <w:t xml:space="preserve">   </w:t>
            </w:r>
            <w:r>
              <w:rPr>
                <w:rFonts w:hint="eastAsia" w:ascii="宋体" w:hAnsi="宋体"/>
                <w:kern w:val="0"/>
                <w:szCs w:val="21"/>
              </w:rPr>
              <w:t xml:space="preserve"> 2020年4月</w:t>
            </w:r>
            <w:r>
              <w:rPr>
                <w:rFonts w:hint="eastAsia" w:ascii="宋体" w:hAnsi="宋体"/>
                <w:kern w:val="0"/>
                <w:szCs w:val="21"/>
                <w:lang w:val="en-US" w:eastAsia="zh-CN"/>
              </w:rPr>
              <w:t>28</w:t>
            </w:r>
            <w:r>
              <w:rPr>
                <w:rFonts w:hint="eastAsia" w:ascii="宋体" w:hAnsi="宋体"/>
                <w:kern w:val="0"/>
                <w:szCs w:val="21"/>
              </w:rPr>
              <w:t>日</w:t>
            </w:r>
          </w:p>
          <w:p>
            <w:pPr>
              <w:rPr>
                <w:rFonts w:hint="eastAsia" w:ascii="宋体" w:hAnsi="宋体"/>
                <w:kern w:val="0"/>
                <w:szCs w:val="21"/>
              </w:rPr>
            </w:pPr>
          </w:p>
          <w:p>
            <w:pPr>
              <w:rPr>
                <w:rFonts w:hint="eastAsia" w:ascii="宋体" w:hAnsi="宋体"/>
                <w:sz w:val="32"/>
                <w:szCs w:val="28"/>
              </w:rPr>
            </w:pPr>
          </w:p>
          <w:p>
            <w:pPr>
              <w:rPr>
                <w:rFonts w:ascii="宋体" w:hAnsi="宋体"/>
                <w:sz w:val="32"/>
                <w:szCs w:val="28"/>
              </w:rPr>
            </w:pPr>
          </w:p>
        </w:tc>
      </w:tr>
    </w:tbl>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新魏">
    <w:panose1 w:val="02010800040101010101"/>
    <w:charset w:val="86"/>
    <w:family w:val="auto"/>
    <w:pitch w:val="default"/>
    <w:sig w:usb0="00000001" w:usb1="080F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3A2"/>
    <w:rsid w:val="00024AA3"/>
    <w:rsid w:val="00043E95"/>
    <w:rsid w:val="00062ACB"/>
    <w:rsid w:val="000B3915"/>
    <w:rsid w:val="000B7127"/>
    <w:rsid w:val="000D5A17"/>
    <w:rsid w:val="000D5E9C"/>
    <w:rsid w:val="000E5C53"/>
    <w:rsid w:val="000E6F9A"/>
    <w:rsid w:val="00105B4F"/>
    <w:rsid w:val="0011283D"/>
    <w:rsid w:val="00124212"/>
    <w:rsid w:val="00125CFE"/>
    <w:rsid w:val="00134015"/>
    <w:rsid w:val="00135F18"/>
    <w:rsid w:val="001538E7"/>
    <w:rsid w:val="00186D6B"/>
    <w:rsid w:val="001948FE"/>
    <w:rsid w:val="001B34BF"/>
    <w:rsid w:val="001C5B25"/>
    <w:rsid w:val="001D2A4C"/>
    <w:rsid w:val="001D6C04"/>
    <w:rsid w:val="001E78EB"/>
    <w:rsid w:val="001F3A37"/>
    <w:rsid w:val="00201568"/>
    <w:rsid w:val="00216512"/>
    <w:rsid w:val="00225040"/>
    <w:rsid w:val="00225434"/>
    <w:rsid w:val="00234655"/>
    <w:rsid w:val="00235954"/>
    <w:rsid w:val="00245C48"/>
    <w:rsid w:val="00254C30"/>
    <w:rsid w:val="002560B3"/>
    <w:rsid w:val="00271A61"/>
    <w:rsid w:val="0027430F"/>
    <w:rsid w:val="00274683"/>
    <w:rsid w:val="00277F9B"/>
    <w:rsid w:val="002802F8"/>
    <w:rsid w:val="00281481"/>
    <w:rsid w:val="002B7B44"/>
    <w:rsid w:val="002C19B6"/>
    <w:rsid w:val="002C35BD"/>
    <w:rsid w:val="002C7C3A"/>
    <w:rsid w:val="002D00D4"/>
    <w:rsid w:val="002D6EFE"/>
    <w:rsid w:val="002E0DEC"/>
    <w:rsid w:val="002E73A2"/>
    <w:rsid w:val="002E7628"/>
    <w:rsid w:val="002F3D0D"/>
    <w:rsid w:val="003111EF"/>
    <w:rsid w:val="003121F0"/>
    <w:rsid w:val="0035230C"/>
    <w:rsid w:val="0035382C"/>
    <w:rsid w:val="003670BC"/>
    <w:rsid w:val="003827E2"/>
    <w:rsid w:val="00385004"/>
    <w:rsid w:val="00386AE6"/>
    <w:rsid w:val="00392E58"/>
    <w:rsid w:val="003A1F2F"/>
    <w:rsid w:val="003A5FBB"/>
    <w:rsid w:val="003B0B3F"/>
    <w:rsid w:val="003B62D9"/>
    <w:rsid w:val="003D2545"/>
    <w:rsid w:val="003E1CBD"/>
    <w:rsid w:val="003F3B8D"/>
    <w:rsid w:val="004002C5"/>
    <w:rsid w:val="00414D93"/>
    <w:rsid w:val="004164B3"/>
    <w:rsid w:val="00433F02"/>
    <w:rsid w:val="00454D44"/>
    <w:rsid w:val="00487BD3"/>
    <w:rsid w:val="004944E8"/>
    <w:rsid w:val="004B64BA"/>
    <w:rsid w:val="004C1518"/>
    <w:rsid w:val="004C41D7"/>
    <w:rsid w:val="004D2C60"/>
    <w:rsid w:val="004E611C"/>
    <w:rsid w:val="00507F59"/>
    <w:rsid w:val="00516151"/>
    <w:rsid w:val="0052088C"/>
    <w:rsid w:val="00544D62"/>
    <w:rsid w:val="00562814"/>
    <w:rsid w:val="005710CA"/>
    <w:rsid w:val="00577903"/>
    <w:rsid w:val="005909B1"/>
    <w:rsid w:val="00590BA2"/>
    <w:rsid w:val="005B02EA"/>
    <w:rsid w:val="005E21E9"/>
    <w:rsid w:val="005E2258"/>
    <w:rsid w:val="00600919"/>
    <w:rsid w:val="00606276"/>
    <w:rsid w:val="0062096E"/>
    <w:rsid w:val="006269BB"/>
    <w:rsid w:val="006277E8"/>
    <w:rsid w:val="006361FC"/>
    <w:rsid w:val="00636EA5"/>
    <w:rsid w:val="00641FEC"/>
    <w:rsid w:val="00651B26"/>
    <w:rsid w:val="0066235F"/>
    <w:rsid w:val="00666CC7"/>
    <w:rsid w:val="006C53EC"/>
    <w:rsid w:val="006D1235"/>
    <w:rsid w:val="006F1DA7"/>
    <w:rsid w:val="006F2E25"/>
    <w:rsid w:val="006F591D"/>
    <w:rsid w:val="0070412A"/>
    <w:rsid w:val="007155BB"/>
    <w:rsid w:val="007225EA"/>
    <w:rsid w:val="007451F6"/>
    <w:rsid w:val="00746EAC"/>
    <w:rsid w:val="007521C0"/>
    <w:rsid w:val="00761F9C"/>
    <w:rsid w:val="00766C1F"/>
    <w:rsid w:val="00767600"/>
    <w:rsid w:val="00770106"/>
    <w:rsid w:val="007719BE"/>
    <w:rsid w:val="007736DD"/>
    <w:rsid w:val="007752C4"/>
    <w:rsid w:val="00780E5D"/>
    <w:rsid w:val="00781D4A"/>
    <w:rsid w:val="00784BCE"/>
    <w:rsid w:val="00787C56"/>
    <w:rsid w:val="007940D4"/>
    <w:rsid w:val="00795E8E"/>
    <w:rsid w:val="007B627A"/>
    <w:rsid w:val="007C1160"/>
    <w:rsid w:val="007C4E7F"/>
    <w:rsid w:val="007E5CF5"/>
    <w:rsid w:val="007F11DE"/>
    <w:rsid w:val="0080761F"/>
    <w:rsid w:val="0082171C"/>
    <w:rsid w:val="008233D1"/>
    <w:rsid w:val="00824AB9"/>
    <w:rsid w:val="00832010"/>
    <w:rsid w:val="0083485F"/>
    <w:rsid w:val="008469DF"/>
    <w:rsid w:val="00864692"/>
    <w:rsid w:val="00864EC2"/>
    <w:rsid w:val="00870DE6"/>
    <w:rsid w:val="00875F24"/>
    <w:rsid w:val="008773E0"/>
    <w:rsid w:val="008A09B0"/>
    <w:rsid w:val="008A5B1C"/>
    <w:rsid w:val="008A5ECA"/>
    <w:rsid w:val="008A5F0E"/>
    <w:rsid w:val="008B508D"/>
    <w:rsid w:val="00901720"/>
    <w:rsid w:val="0090529A"/>
    <w:rsid w:val="00951BDF"/>
    <w:rsid w:val="00982275"/>
    <w:rsid w:val="00984754"/>
    <w:rsid w:val="009924A7"/>
    <w:rsid w:val="009A7F13"/>
    <w:rsid w:val="009C06D5"/>
    <w:rsid w:val="009C18F3"/>
    <w:rsid w:val="009D33D4"/>
    <w:rsid w:val="009D5998"/>
    <w:rsid w:val="009E2B94"/>
    <w:rsid w:val="00A03AB8"/>
    <w:rsid w:val="00A10F8C"/>
    <w:rsid w:val="00A25133"/>
    <w:rsid w:val="00A2623F"/>
    <w:rsid w:val="00A62178"/>
    <w:rsid w:val="00A670D5"/>
    <w:rsid w:val="00A8280D"/>
    <w:rsid w:val="00A93332"/>
    <w:rsid w:val="00A9676F"/>
    <w:rsid w:val="00AA671D"/>
    <w:rsid w:val="00AB416B"/>
    <w:rsid w:val="00AB63F0"/>
    <w:rsid w:val="00AC5F14"/>
    <w:rsid w:val="00AD755F"/>
    <w:rsid w:val="00AE4913"/>
    <w:rsid w:val="00AE62FF"/>
    <w:rsid w:val="00AF2D76"/>
    <w:rsid w:val="00B05D13"/>
    <w:rsid w:val="00B060E2"/>
    <w:rsid w:val="00B128CA"/>
    <w:rsid w:val="00B232A8"/>
    <w:rsid w:val="00B30439"/>
    <w:rsid w:val="00B316BB"/>
    <w:rsid w:val="00B31EA8"/>
    <w:rsid w:val="00B40D96"/>
    <w:rsid w:val="00B41DF8"/>
    <w:rsid w:val="00B505B9"/>
    <w:rsid w:val="00B53C19"/>
    <w:rsid w:val="00B62A4A"/>
    <w:rsid w:val="00B70257"/>
    <w:rsid w:val="00B70CE5"/>
    <w:rsid w:val="00B740C5"/>
    <w:rsid w:val="00B83DEB"/>
    <w:rsid w:val="00B96E3E"/>
    <w:rsid w:val="00BA5D62"/>
    <w:rsid w:val="00BB3FF2"/>
    <w:rsid w:val="00BC55DF"/>
    <w:rsid w:val="00BD3839"/>
    <w:rsid w:val="00BD713E"/>
    <w:rsid w:val="00BF6842"/>
    <w:rsid w:val="00C17B33"/>
    <w:rsid w:val="00C249B8"/>
    <w:rsid w:val="00C30CFE"/>
    <w:rsid w:val="00C36D27"/>
    <w:rsid w:val="00C421BD"/>
    <w:rsid w:val="00C5081F"/>
    <w:rsid w:val="00C556BD"/>
    <w:rsid w:val="00C57702"/>
    <w:rsid w:val="00C642DB"/>
    <w:rsid w:val="00C70235"/>
    <w:rsid w:val="00CC08D2"/>
    <w:rsid w:val="00CE488E"/>
    <w:rsid w:val="00CE5116"/>
    <w:rsid w:val="00CE6AE4"/>
    <w:rsid w:val="00CF6272"/>
    <w:rsid w:val="00D054F6"/>
    <w:rsid w:val="00D07CE0"/>
    <w:rsid w:val="00D23D52"/>
    <w:rsid w:val="00D45490"/>
    <w:rsid w:val="00D46825"/>
    <w:rsid w:val="00D64D38"/>
    <w:rsid w:val="00D65FA0"/>
    <w:rsid w:val="00D67A30"/>
    <w:rsid w:val="00D82BFE"/>
    <w:rsid w:val="00D84C37"/>
    <w:rsid w:val="00D90DEF"/>
    <w:rsid w:val="00D96DD9"/>
    <w:rsid w:val="00DA5291"/>
    <w:rsid w:val="00DA77F8"/>
    <w:rsid w:val="00DB19BD"/>
    <w:rsid w:val="00DD74AB"/>
    <w:rsid w:val="00DE4F4A"/>
    <w:rsid w:val="00E15A8F"/>
    <w:rsid w:val="00E170E9"/>
    <w:rsid w:val="00E24701"/>
    <w:rsid w:val="00E37683"/>
    <w:rsid w:val="00E523B9"/>
    <w:rsid w:val="00E6036D"/>
    <w:rsid w:val="00E71F5D"/>
    <w:rsid w:val="00E93B95"/>
    <w:rsid w:val="00EC0120"/>
    <w:rsid w:val="00EC4B7A"/>
    <w:rsid w:val="00EC615C"/>
    <w:rsid w:val="00ED0039"/>
    <w:rsid w:val="00ED1FAA"/>
    <w:rsid w:val="00EE1071"/>
    <w:rsid w:val="00EF4659"/>
    <w:rsid w:val="00F0673B"/>
    <w:rsid w:val="00F25B3B"/>
    <w:rsid w:val="00F472DB"/>
    <w:rsid w:val="00F50BB5"/>
    <w:rsid w:val="00F52286"/>
    <w:rsid w:val="00F76829"/>
    <w:rsid w:val="00F92EC2"/>
    <w:rsid w:val="00F94548"/>
    <w:rsid w:val="00FC537A"/>
    <w:rsid w:val="00FC7633"/>
    <w:rsid w:val="00FD5245"/>
    <w:rsid w:val="00FE79EA"/>
    <w:rsid w:val="00FF08CA"/>
    <w:rsid w:val="00FF11B4"/>
    <w:rsid w:val="00FF231E"/>
    <w:rsid w:val="00FF3582"/>
    <w:rsid w:val="04F5178D"/>
    <w:rsid w:val="08A047A1"/>
    <w:rsid w:val="19486870"/>
    <w:rsid w:val="1DD13ADF"/>
    <w:rsid w:val="27EC5B95"/>
    <w:rsid w:val="34AB1B6D"/>
    <w:rsid w:val="3D034854"/>
    <w:rsid w:val="4B5B5212"/>
    <w:rsid w:val="538555CF"/>
    <w:rsid w:val="565B08A6"/>
    <w:rsid w:val="5BEA4B01"/>
    <w:rsid w:val="5D2F0EEF"/>
    <w:rsid w:val="617539EE"/>
    <w:rsid w:val="617B2765"/>
    <w:rsid w:val="680D6A91"/>
    <w:rsid w:val="6D3465DA"/>
    <w:rsid w:val="74252CF1"/>
    <w:rsid w:val="769E6815"/>
    <w:rsid w:val="7B8B16FA"/>
    <w:rsid w:val="7D493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nhideWhenUsed/>
    <w:qFormat/>
    <w:uiPriority w:val="99"/>
    <w:rPr>
      <w:color w:val="3366CC"/>
      <w:u w:val="none"/>
    </w:rPr>
  </w:style>
  <w:style w:type="character" w:customStyle="1" w:styleId="9">
    <w:name w:val="页眉 Char"/>
    <w:basedOn w:val="7"/>
    <w:link w:val="4"/>
    <w:qFormat/>
    <w:uiPriority w:val="0"/>
    <w:rPr>
      <w:sz w:val="18"/>
      <w:szCs w:val="18"/>
    </w:rPr>
  </w:style>
  <w:style w:type="character" w:customStyle="1" w:styleId="10">
    <w:name w:val="页脚 Char"/>
    <w:basedOn w:val="7"/>
    <w:link w:val="3"/>
    <w:uiPriority w:val="99"/>
    <w:rPr>
      <w:sz w:val="18"/>
      <w:szCs w:val="18"/>
    </w:rPr>
  </w:style>
  <w:style w:type="character" w:customStyle="1" w:styleId="11">
    <w:name w:val="批注框文本 Char"/>
    <w:basedOn w:val="7"/>
    <w:link w:val="2"/>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131299-96A5-4FC8-90C0-C2588C20123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581</Characters>
  <Lines>4</Lines>
  <Paragraphs>1</Paragraphs>
  <TotalTime>0</TotalTime>
  <ScaleCrop>false</ScaleCrop>
  <LinksUpToDate>false</LinksUpToDate>
  <CharactersWithSpaces>681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2017-01-17T07:54:00Z</dcterms:created>
  <dc:creator>李晓杰</dc:creator>
  <cp:lastModifiedBy>Administrator</cp:lastModifiedBy>
  <cp:lastPrinted>2017-10-25T07:57:00Z</cp:lastPrinted>
  <dcterms:modified xsi:type="dcterms:W3CDTF">2020-04-28T06:50:35Z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