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1980"/>
        </w:tabs>
        <w:rPr>
          <w:rFonts w:ascii="宋体" w:hAnsi="宋体"/>
          <w:b/>
          <w:sz w:val="30"/>
        </w:rPr>
      </w:pPr>
      <w:r>
        <w:rPr>
          <w:rFonts w:hint="eastAsia" w:ascii="宋体" w:hAnsi="宋体"/>
          <w:b/>
          <w:sz w:val="30"/>
        </w:rPr>
        <w:t>协议编号：</w:t>
      </w:r>
      <w:r>
        <w:rPr>
          <w:rFonts w:ascii="宋体" w:hAnsi="宋体"/>
          <w:b/>
          <w:sz w:val="30"/>
        </w:rPr>
        <w:t>SRTC-GXRD2020</w:t>
      </w:r>
    </w:p>
    <w:p>
      <w:pPr>
        <w:tabs>
          <w:tab w:val="left" w:pos="1980"/>
        </w:tabs>
        <w:rPr>
          <w:rFonts w:ascii="宋体" w:hAnsi="宋体"/>
          <w:b/>
          <w:sz w:val="30"/>
        </w:rPr>
      </w:pPr>
    </w:p>
    <w:p>
      <w:pPr>
        <w:tabs>
          <w:tab w:val="left" w:pos="1980"/>
        </w:tabs>
        <w:rPr>
          <w:rFonts w:ascii="宋体" w:hAnsi="宋体"/>
          <w:b/>
          <w:sz w:val="30"/>
        </w:rPr>
      </w:pPr>
    </w:p>
    <w:p>
      <w:pPr>
        <w:tabs>
          <w:tab w:val="left" w:pos="1980"/>
        </w:tabs>
        <w:rPr>
          <w:rFonts w:ascii="宋体" w:hAnsi="宋体"/>
          <w:b/>
          <w:sz w:val="30"/>
        </w:rPr>
      </w:pPr>
    </w:p>
    <w:p>
      <w:pPr>
        <w:tabs>
          <w:tab w:val="left" w:pos="5654"/>
        </w:tabs>
        <w:rPr>
          <w:rFonts w:ascii="宋体" w:hAnsi="宋体"/>
          <w:sz w:val="28"/>
        </w:rPr>
      </w:pPr>
      <w:r>
        <w:rPr>
          <w:rFonts w:hint="eastAsia" w:ascii="宋体" w:hAnsi="宋体"/>
          <w:sz w:val="28"/>
        </w:rPr>
        <w:tab/>
      </w:r>
    </w:p>
    <w:p>
      <w:pPr>
        <w:jc w:val="center"/>
        <w:rPr>
          <w:rFonts w:ascii="黑体" w:hAnsi="宋体" w:eastAsia="黑体"/>
          <w:b/>
          <w:color w:val="000000"/>
          <w:sz w:val="44"/>
        </w:rPr>
      </w:pPr>
    </w:p>
    <w:p>
      <w:pPr>
        <w:jc w:val="center"/>
        <w:rPr>
          <w:rFonts w:ascii="黑体" w:hAnsi="宋体" w:eastAsia="黑体"/>
          <w:b/>
          <w:color w:val="000000"/>
          <w:sz w:val="44"/>
        </w:rPr>
      </w:pPr>
      <w:r>
        <w:rPr>
          <w:rFonts w:hint="eastAsia" w:ascii="黑体" w:hAnsi="宋体" w:eastAsia="黑体"/>
          <w:b/>
          <w:color w:val="000000"/>
          <w:sz w:val="52"/>
          <w:szCs w:val="52"/>
        </w:rPr>
        <w:t>科技咨询服务协议书</w:t>
      </w:r>
    </w:p>
    <w:p>
      <w:pPr>
        <w:rPr>
          <w:rFonts w:ascii="黑体" w:hAnsi="宋体" w:eastAsia="黑体"/>
          <w:b/>
          <w:color w:val="000000"/>
          <w:sz w:val="30"/>
        </w:rPr>
      </w:pPr>
    </w:p>
    <w:p>
      <w:r>
        <w:rPr>
          <w:rFonts w:hint="eastAsia"/>
        </w:rPr>
        <w:t xml:space="preserve"> </w:t>
      </w:r>
    </w:p>
    <w:p/>
    <w:p/>
    <w:p/>
    <w:p/>
    <w:p/>
    <w:p/>
    <w:p/>
    <w:p>
      <w:pPr>
        <w:rPr>
          <w:rFonts w:ascii="黑体" w:eastAsia="黑体"/>
        </w:rPr>
      </w:pPr>
    </w:p>
    <w:p>
      <w:pPr>
        <w:overflowPunct w:val="0"/>
        <w:autoSpaceDE w:val="0"/>
        <w:autoSpaceDN w:val="0"/>
        <w:ind w:firstLine="1412" w:firstLineChars="441"/>
        <w:rPr>
          <w:rFonts w:hint="eastAsia" w:ascii="微软雅黑" w:hAnsi="微软雅黑" w:eastAsia="微软雅黑"/>
          <w:b/>
          <w:sz w:val="32"/>
          <w:szCs w:val="32"/>
          <w:lang w:val="en-US" w:eastAsia="zh-CN"/>
        </w:rPr>
      </w:pPr>
      <w:r>
        <w:rPr>
          <w:rFonts w:hint="eastAsia" w:ascii="微软雅黑" w:hAnsi="微软雅黑" w:eastAsia="微软雅黑"/>
          <w:b/>
          <w:sz w:val="32"/>
          <w:szCs w:val="32"/>
        </w:rPr>
        <w:t>委托方：</w:t>
      </w:r>
      <w:r>
        <w:rPr>
          <w:rFonts w:hint="eastAsia" w:ascii="微软雅黑" w:hAnsi="微软雅黑" w:eastAsia="微软雅黑"/>
          <w:b/>
          <w:sz w:val="32"/>
          <w:szCs w:val="32"/>
          <w:lang w:val="en-US" w:eastAsia="zh-CN"/>
        </w:rPr>
        <w:t>北京光华荣昌汽车部件有限公司</w:t>
      </w:r>
    </w:p>
    <w:p>
      <w:pPr>
        <w:overflowPunct w:val="0"/>
        <w:autoSpaceDE w:val="0"/>
        <w:autoSpaceDN w:val="0"/>
        <w:ind w:firstLine="1412" w:firstLineChars="441"/>
        <w:rPr>
          <w:rFonts w:ascii="微软雅黑" w:hAnsi="微软雅黑" w:eastAsia="微软雅黑"/>
          <w:b/>
          <w:sz w:val="32"/>
          <w:szCs w:val="32"/>
        </w:rPr>
      </w:pPr>
      <w:r>
        <w:rPr>
          <w:rFonts w:hint="eastAsia" w:ascii="微软雅黑" w:hAnsi="微软雅黑" w:eastAsia="微软雅黑"/>
          <w:b/>
          <w:sz w:val="32"/>
          <w:szCs w:val="32"/>
        </w:rPr>
        <w:t>咨询方：北京顺然天成咨询有限公司</w:t>
      </w:r>
    </w:p>
    <w:p>
      <w:pPr>
        <w:rPr>
          <w:rFonts w:ascii="黑体" w:eastAsia="黑体"/>
        </w:rPr>
      </w:pPr>
    </w:p>
    <w:p>
      <w:pPr>
        <w:spacing w:line="360" w:lineRule="auto"/>
        <w:ind w:firstLine="560" w:firstLineChars="200"/>
        <w:rPr>
          <w:rFonts w:ascii="黑体" w:hAnsi="宋体" w:eastAsia="黑体"/>
          <w:sz w:val="28"/>
          <w:szCs w:val="30"/>
        </w:rPr>
      </w:pPr>
    </w:p>
    <w:p>
      <w:pPr>
        <w:spacing w:line="360" w:lineRule="auto"/>
        <w:ind w:firstLine="560" w:firstLineChars="200"/>
        <w:rPr>
          <w:rFonts w:ascii="黑体" w:hAnsi="宋体" w:eastAsia="黑体"/>
          <w:sz w:val="28"/>
          <w:szCs w:val="30"/>
        </w:rPr>
      </w:pPr>
    </w:p>
    <w:p>
      <w:pPr>
        <w:spacing w:line="360" w:lineRule="auto"/>
        <w:ind w:firstLine="560" w:firstLineChars="200"/>
        <w:rPr>
          <w:rFonts w:ascii="黑体" w:hAnsi="宋体" w:eastAsia="黑体"/>
          <w:sz w:val="28"/>
          <w:szCs w:val="30"/>
        </w:rPr>
      </w:pPr>
    </w:p>
    <w:p>
      <w:pPr>
        <w:spacing w:line="360" w:lineRule="auto"/>
        <w:jc w:val="center"/>
        <w:rPr>
          <w:rFonts w:ascii="黑体" w:hAnsi="宋体" w:eastAsia="黑体"/>
          <w:b/>
          <w:sz w:val="32"/>
          <w:szCs w:val="32"/>
        </w:rPr>
      </w:pPr>
      <w:r>
        <w:rPr>
          <w:rFonts w:hint="eastAsia" w:ascii="黑体" w:hAnsi="宋体" w:eastAsia="黑体"/>
          <w:b/>
          <w:sz w:val="32"/>
          <w:szCs w:val="32"/>
        </w:rPr>
        <w:t>二〇</w:t>
      </w:r>
      <w:r>
        <w:rPr>
          <w:rFonts w:hint="eastAsia" w:ascii="黑体" w:hAnsi="宋体" w:eastAsia="黑体"/>
          <w:b/>
          <w:sz w:val="32"/>
          <w:szCs w:val="32"/>
          <w:lang w:val="en-US" w:eastAsia="zh-CN"/>
        </w:rPr>
        <w:t>二</w:t>
      </w:r>
      <w:r>
        <w:rPr>
          <w:rFonts w:hint="eastAsia" w:ascii="黑体" w:hAnsi="宋体" w:eastAsia="黑体"/>
          <w:b/>
          <w:sz w:val="32"/>
          <w:szCs w:val="32"/>
        </w:rPr>
        <w:t>〇年</w:t>
      </w:r>
      <w:r>
        <w:rPr>
          <w:rFonts w:hint="eastAsia" w:ascii="黑体" w:hAnsi="宋体" w:eastAsia="黑体"/>
          <w:b/>
          <w:sz w:val="32"/>
          <w:szCs w:val="32"/>
          <w:lang w:val="en-US" w:eastAsia="zh-CN"/>
        </w:rPr>
        <w:t>三</w:t>
      </w:r>
      <w:r>
        <w:rPr>
          <w:rFonts w:hint="eastAsia" w:ascii="黑体" w:hAnsi="宋体" w:eastAsia="黑体"/>
          <w:b/>
          <w:sz w:val="32"/>
          <w:szCs w:val="32"/>
        </w:rPr>
        <w:t>月</w:t>
      </w:r>
    </w:p>
    <w:p>
      <w:pPr>
        <w:overflowPunct w:val="0"/>
        <w:autoSpaceDE w:val="0"/>
        <w:autoSpaceDN w:val="0"/>
        <w:snapToGrid w:val="0"/>
        <w:spacing w:line="480" w:lineRule="exact"/>
        <w:ind w:firstLine="480" w:firstLineChars="200"/>
        <w:rPr>
          <w:rFonts w:hAnsi="宋体"/>
          <w:sz w:val="24"/>
        </w:rPr>
      </w:pPr>
    </w:p>
    <w:p>
      <w:pPr>
        <w:overflowPunct w:val="0"/>
        <w:autoSpaceDE w:val="0"/>
        <w:autoSpaceDN w:val="0"/>
        <w:snapToGrid w:val="0"/>
        <w:spacing w:line="480" w:lineRule="exact"/>
        <w:ind w:firstLine="480" w:firstLineChars="200"/>
        <w:rPr>
          <w:rFonts w:hAnsi="宋体"/>
          <w:sz w:val="24"/>
        </w:rPr>
      </w:pPr>
    </w:p>
    <w:p>
      <w:pPr>
        <w:overflowPunct w:val="0"/>
        <w:autoSpaceDE w:val="0"/>
        <w:autoSpaceDN w:val="0"/>
        <w:snapToGrid w:val="0"/>
        <w:spacing w:line="480" w:lineRule="exact"/>
        <w:ind w:firstLine="480" w:firstLineChars="200"/>
        <w:rPr>
          <w:rFonts w:hAnsi="宋体"/>
          <w:sz w:val="24"/>
        </w:rPr>
      </w:pPr>
    </w:p>
    <w:p>
      <w:pPr>
        <w:overflowPunct w:val="0"/>
        <w:autoSpaceDE w:val="0"/>
        <w:autoSpaceDN w:val="0"/>
        <w:snapToGrid w:val="0"/>
        <w:spacing w:line="480" w:lineRule="exact"/>
        <w:ind w:firstLine="480" w:firstLineChars="200"/>
        <w:rPr>
          <w:rFonts w:hAnsi="宋体"/>
          <w:sz w:val="24"/>
        </w:rPr>
      </w:pPr>
    </w:p>
    <w:p>
      <w:pPr>
        <w:shd w:val="clear" w:color="auto" w:fill="FFFF00"/>
        <w:overflowPunct w:val="0"/>
        <w:autoSpaceDE w:val="0"/>
        <w:autoSpaceDN w:val="0"/>
        <w:snapToGrid w:val="0"/>
        <w:spacing w:line="440" w:lineRule="exact"/>
        <w:ind w:firstLine="482" w:firstLineChars="200"/>
        <w:rPr>
          <w:rFonts w:hAnsi="宋体"/>
          <w:b/>
          <w:sz w:val="24"/>
        </w:rPr>
        <w:sectPr>
          <w:headerReference r:id="rId3" w:type="default"/>
          <w:footerReference r:id="rId4" w:type="default"/>
          <w:pgSz w:w="11906" w:h="16838"/>
          <w:pgMar w:top="1474" w:right="1474" w:bottom="907" w:left="1474" w:header="680" w:footer="992" w:gutter="0"/>
          <w:pgNumType w:start="0"/>
          <w:cols w:space="720" w:num="1"/>
          <w:docGrid w:type="lines" w:linePitch="312" w:charSpace="0"/>
        </w:sectPr>
      </w:pPr>
    </w:p>
    <w:p>
      <w:pPr>
        <w:shd w:val="clear" w:color="auto"/>
        <w:overflowPunct w:val="0"/>
        <w:autoSpaceDE w:val="0"/>
        <w:autoSpaceDN w:val="0"/>
        <w:snapToGrid w:val="0"/>
        <w:spacing w:line="480" w:lineRule="exact"/>
        <w:ind w:firstLine="482" w:firstLineChars="200"/>
        <w:rPr>
          <w:rFonts w:hAnsi="宋体"/>
          <w:b/>
          <w:color w:val="auto"/>
          <w:sz w:val="24"/>
        </w:rPr>
      </w:pPr>
      <w:r>
        <w:rPr>
          <w:rFonts w:hint="eastAsia" w:hAnsi="宋体"/>
          <w:b/>
          <w:color w:val="auto"/>
          <w:sz w:val="24"/>
        </w:rPr>
        <w:t>委托方（甲方）：</w:t>
      </w:r>
      <w:r>
        <w:rPr>
          <w:rFonts w:hint="eastAsia" w:hAnsi="宋体"/>
          <w:b/>
          <w:color w:val="auto"/>
          <w:sz w:val="24"/>
          <w:lang w:val="en-US" w:eastAsia="zh-CN"/>
        </w:rPr>
        <w:t>北京光华荣昌汽车部件</w:t>
      </w:r>
      <w:r>
        <w:rPr>
          <w:rFonts w:hint="eastAsia" w:hAnsi="宋体"/>
          <w:b/>
          <w:color w:val="auto"/>
          <w:sz w:val="24"/>
        </w:rPr>
        <w:t>有限公司</w:t>
      </w:r>
    </w:p>
    <w:p>
      <w:pPr>
        <w:shd w:val="clear" w:color="auto"/>
        <w:overflowPunct w:val="0"/>
        <w:autoSpaceDE w:val="0"/>
        <w:autoSpaceDN w:val="0"/>
        <w:snapToGrid w:val="0"/>
        <w:spacing w:line="480" w:lineRule="exact"/>
        <w:ind w:firstLine="480" w:firstLineChars="200"/>
        <w:rPr>
          <w:rFonts w:hint="eastAsia" w:hAnsi="宋体"/>
          <w:color w:val="auto"/>
          <w:sz w:val="24"/>
          <w:lang w:val="en-US" w:eastAsia="zh-CN"/>
        </w:rPr>
      </w:pPr>
      <w:r>
        <w:rPr>
          <w:rFonts w:hint="eastAsia" w:hAnsi="宋体"/>
          <w:color w:val="auto"/>
          <w:sz w:val="24"/>
        </w:rPr>
        <w:t>住所地：北京市</w:t>
      </w:r>
      <w:r>
        <w:rPr>
          <w:rFonts w:hint="eastAsia" w:hAnsi="宋体"/>
          <w:color w:val="auto"/>
          <w:sz w:val="24"/>
          <w:lang w:val="en-US" w:eastAsia="zh-CN"/>
        </w:rPr>
        <w:t>昌平区流村镇工业园</w:t>
      </w:r>
    </w:p>
    <w:p>
      <w:pPr>
        <w:shd w:val="clear" w:color="auto"/>
        <w:overflowPunct w:val="0"/>
        <w:autoSpaceDE w:val="0"/>
        <w:autoSpaceDN w:val="0"/>
        <w:snapToGrid w:val="0"/>
        <w:spacing w:line="480" w:lineRule="exact"/>
        <w:ind w:firstLine="480" w:firstLineChars="200"/>
        <w:rPr>
          <w:rFonts w:hint="default" w:hAnsi="宋体" w:eastAsia="宋体"/>
          <w:color w:val="auto"/>
          <w:sz w:val="24"/>
          <w:lang w:val="en-US" w:eastAsia="zh-CN"/>
        </w:rPr>
      </w:pPr>
      <w:r>
        <w:rPr>
          <w:rFonts w:hint="eastAsia" w:hAnsi="宋体"/>
          <w:color w:val="auto"/>
          <w:sz w:val="24"/>
        </w:rPr>
        <w:t>项目负责人：</w:t>
      </w:r>
      <w:r>
        <w:rPr>
          <w:rFonts w:hint="eastAsia" w:hAnsi="宋体"/>
          <w:color w:val="auto"/>
          <w:sz w:val="24"/>
          <w:lang w:val="en-US" w:eastAsia="zh-CN"/>
        </w:rPr>
        <w:t>李星</w:t>
      </w:r>
    </w:p>
    <w:p>
      <w:pPr>
        <w:shd w:val="clear" w:color="auto"/>
        <w:overflowPunct w:val="0"/>
        <w:autoSpaceDE w:val="0"/>
        <w:autoSpaceDN w:val="0"/>
        <w:snapToGrid w:val="0"/>
        <w:spacing w:line="480" w:lineRule="exact"/>
        <w:ind w:firstLine="480" w:firstLineChars="200"/>
        <w:rPr>
          <w:rFonts w:hint="default" w:hAnsi="宋体" w:eastAsia="宋体"/>
          <w:b/>
          <w:color w:val="auto"/>
          <w:sz w:val="24"/>
          <w:lang w:val="en-US" w:eastAsia="zh-CN"/>
        </w:rPr>
      </w:pPr>
      <w:r>
        <w:rPr>
          <w:rFonts w:hint="eastAsia" w:hAnsi="宋体"/>
          <w:color w:val="auto"/>
          <w:sz w:val="24"/>
        </w:rPr>
        <w:t>联系电话：</w:t>
      </w:r>
      <w:r>
        <w:rPr>
          <w:rFonts w:hint="eastAsia" w:hAnsi="宋体"/>
          <w:color w:val="auto"/>
          <w:sz w:val="24"/>
          <w:lang w:val="en-US" w:eastAsia="zh-CN"/>
        </w:rPr>
        <w:t>15201429887</w:t>
      </w:r>
    </w:p>
    <w:p>
      <w:pPr>
        <w:overflowPunct w:val="0"/>
        <w:autoSpaceDE w:val="0"/>
        <w:autoSpaceDN w:val="0"/>
        <w:snapToGrid w:val="0"/>
        <w:spacing w:line="480" w:lineRule="exact"/>
        <w:ind w:firstLine="482" w:firstLineChars="200"/>
        <w:rPr>
          <w:rFonts w:hAnsi="宋体"/>
          <w:b/>
          <w:sz w:val="24"/>
        </w:rPr>
      </w:pPr>
    </w:p>
    <w:p>
      <w:pPr>
        <w:overflowPunct w:val="0"/>
        <w:autoSpaceDE w:val="0"/>
        <w:autoSpaceDN w:val="0"/>
        <w:snapToGrid w:val="0"/>
        <w:spacing w:line="480" w:lineRule="exact"/>
        <w:ind w:firstLine="482" w:firstLineChars="200"/>
        <w:rPr>
          <w:rFonts w:hAnsi="宋体"/>
          <w:sz w:val="24"/>
        </w:rPr>
      </w:pPr>
      <w:r>
        <w:rPr>
          <w:rFonts w:hint="eastAsia" w:hAnsi="宋体"/>
          <w:b/>
          <w:sz w:val="24"/>
        </w:rPr>
        <w:t>受托方（乙方）：北京顺然天成咨询有限公司</w:t>
      </w:r>
    </w:p>
    <w:p>
      <w:pPr>
        <w:overflowPunct w:val="0"/>
        <w:autoSpaceDE w:val="0"/>
        <w:autoSpaceDN w:val="0"/>
        <w:snapToGrid w:val="0"/>
        <w:spacing w:line="480" w:lineRule="exact"/>
        <w:ind w:firstLine="480" w:firstLineChars="200"/>
        <w:rPr>
          <w:rFonts w:hAnsi="宋体"/>
          <w:sz w:val="24"/>
        </w:rPr>
      </w:pPr>
      <w:r>
        <w:rPr>
          <w:rFonts w:hint="eastAsia" w:hAnsi="宋体"/>
          <w:sz w:val="24"/>
        </w:rPr>
        <w:t>住所地：北京市丰台区总部基地十八区25号楼10层</w:t>
      </w:r>
    </w:p>
    <w:p>
      <w:pPr>
        <w:overflowPunct w:val="0"/>
        <w:autoSpaceDE w:val="0"/>
        <w:autoSpaceDN w:val="0"/>
        <w:snapToGrid w:val="0"/>
        <w:spacing w:line="480" w:lineRule="exact"/>
        <w:ind w:firstLine="480" w:firstLineChars="200"/>
        <w:rPr>
          <w:rFonts w:hAnsi="宋体"/>
          <w:sz w:val="24"/>
          <w:shd w:val="clear" w:color="auto" w:fill="FF0000"/>
        </w:rPr>
      </w:pPr>
      <w:r>
        <w:rPr>
          <w:rFonts w:hint="eastAsia" w:hAnsi="宋体"/>
          <w:sz w:val="24"/>
        </w:rPr>
        <w:t xml:space="preserve">项目负责人： </w:t>
      </w:r>
      <w:r>
        <w:rPr>
          <w:rFonts w:hint="eastAsia" w:hAnsi="宋体"/>
          <w:sz w:val="24"/>
          <w:lang w:val="en-US" w:eastAsia="zh-CN"/>
        </w:rPr>
        <w:t>李丽</w:t>
      </w:r>
      <w:r>
        <w:rPr>
          <w:rFonts w:hint="eastAsia" w:hAnsi="宋体"/>
          <w:sz w:val="24"/>
        </w:rPr>
        <w:t xml:space="preserve"> </w:t>
      </w:r>
    </w:p>
    <w:p>
      <w:pPr>
        <w:overflowPunct w:val="0"/>
        <w:autoSpaceDE w:val="0"/>
        <w:autoSpaceDN w:val="0"/>
        <w:snapToGrid w:val="0"/>
        <w:spacing w:line="480" w:lineRule="exact"/>
        <w:ind w:firstLine="480" w:firstLineChars="200"/>
        <w:rPr>
          <w:rFonts w:hAnsi="宋体"/>
          <w:sz w:val="24"/>
        </w:rPr>
      </w:pPr>
      <w:r>
        <w:rPr>
          <w:rFonts w:hint="eastAsia" w:hAnsi="宋体"/>
          <w:sz w:val="24"/>
        </w:rPr>
        <w:t>联系电话：010-</w:t>
      </w:r>
      <w:r>
        <w:rPr>
          <w:rFonts w:hint="eastAsia" w:hAnsi="宋体"/>
          <w:sz w:val="24"/>
          <w:lang w:val="en-US" w:eastAsia="zh-CN"/>
        </w:rPr>
        <w:t>69250030   13501360397</w:t>
      </w:r>
    </w:p>
    <w:p>
      <w:pPr>
        <w:overflowPunct w:val="0"/>
        <w:autoSpaceDE w:val="0"/>
        <w:autoSpaceDN w:val="0"/>
        <w:snapToGrid w:val="0"/>
        <w:spacing w:line="480" w:lineRule="exact"/>
        <w:ind w:firstLine="480" w:firstLineChars="200"/>
        <w:rPr>
          <w:rFonts w:hAnsi="宋体"/>
          <w:sz w:val="24"/>
        </w:rPr>
      </w:pPr>
    </w:p>
    <w:p>
      <w:pPr>
        <w:overflowPunct w:val="0"/>
        <w:autoSpaceDE w:val="0"/>
        <w:autoSpaceDN w:val="0"/>
        <w:snapToGrid w:val="0"/>
        <w:spacing w:line="480" w:lineRule="exact"/>
        <w:ind w:firstLine="480" w:firstLineChars="200"/>
        <w:rPr>
          <w:rFonts w:hAnsi="宋体"/>
          <w:sz w:val="24"/>
        </w:rPr>
      </w:pPr>
      <w:r>
        <w:rPr>
          <w:rFonts w:hint="eastAsia" w:hAnsi="宋体"/>
          <w:sz w:val="24"/>
        </w:rPr>
        <w:t>依据《中华人民共和国合同法》等相关法律规定，甲乙双方就2020年国家高新技术企业认定提供咨询服务，经友好协商达成如下协议，双方共同遵守。</w:t>
      </w:r>
    </w:p>
    <w:p>
      <w:pPr>
        <w:pStyle w:val="2"/>
        <w:keepNext w:val="0"/>
        <w:keepLines w:val="0"/>
        <w:overflowPunct w:val="0"/>
        <w:autoSpaceDE w:val="0"/>
        <w:autoSpaceDN w:val="0"/>
        <w:snapToGrid w:val="0"/>
        <w:spacing w:before="120" w:afterLines="50" w:line="440" w:lineRule="exact"/>
        <w:rPr>
          <w:sz w:val="28"/>
          <w:szCs w:val="28"/>
        </w:rPr>
      </w:pPr>
      <w:r>
        <w:rPr>
          <w:rFonts w:hint="eastAsia"/>
          <w:sz w:val="28"/>
          <w:szCs w:val="28"/>
        </w:rPr>
        <w:t>1、甲方的责任和义务</w:t>
      </w:r>
    </w:p>
    <w:p>
      <w:pPr>
        <w:overflowPunct w:val="0"/>
        <w:autoSpaceDE w:val="0"/>
        <w:autoSpaceDN w:val="0"/>
        <w:snapToGrid w:val="0"/>
        <w:spacing w:line="480" w:lineRule="exact"/>
        <w:rPr>
          <w:sz w:val="24"/>
        </w:rPr>
      </w:pPr>
      <w:r>
        <w:rPr>
          <w:rFonts w:hint="eastAsia"/>
          <w:sz w:val="24"/>
        </w:rPr>
        <w:t>1.1 甲方应按乙方要求，认真提供完整的材料、数据，并保证所提供材料的真实性。</w:t>
      </w:r>
    </w:p>
    <w:p>
      <w:pPr>
        <w:overflowPunct w:val="0"/>
        <w:autoSpaceDE w:val="0"/>
        <w:autoSpaceDN w:val="0"/>
        <w:snapToGrid w:val="0"/>
        <w:spacing w:line="480" w:lineRule="exact"/>
        <w:rPr>
          <w:sz w:val="24"/>
        </w:rPr>
      </w:pPr>
      <w:r>
        <w:rPr>
          <w:rFonts w:hint="eastAsia"/>
          <w:sz w:val="24"/>
        </w:rPr>
        <w:t>1.2 甲方应指定专门人员与乙方项目经理对接，并按照乙方提供的资料清单，提供所需要的基础资料，并提供工作便利。</w:t>
      </w:r>
    </w:p>
    <w:p>
      <w:pPr>
        <w:overflowPunct w:val="0"/>
        <w:autoSpaceDE w:val="0"/>
        <w:autoSpaceDN w:val="0"/>
        <w:snapToGrid w:val="0"/>
        <w:spacing w:line="480" w:lineRule="exact"/>
        <w:rPr>
          <w:sz w:val="24"/>
        </w:rPr>
      </w:pPr>
      <w:r>
        <w:rPr>
          <w:rFonts w:hint="eastAsia"/>
          <w:sz w:val="24"/>
        </w:rPr>
        <w:t>1.3 甲方应按照乙方限定的时限要求及时补充、修正有关申请材料。</w:t>
      </w:r>
    </w:p>
    <w:p>
      <w:pPr>
        <w:overflowPunct w:val="0"/>
        <w:autoSpaceDE w:val="0"/>
        <w:autoSpaceDN w:val="0"/>
        <w:snapToGrid w:val="0"/>
        <w:spacing w:line="480" w:lineRule="exact"/>
        <w:rPr>
          <w:sz w:val="24"/>
        </w:rPr>
      </w:pPr>
      <w:r>
        <w:rPr>
          <w:rFonts w:hint="eastAsia"/>
          <w:sz w:val="24"/>
        </w:rPr>
        <w:t>1.4</w:t>
      </w:r>
      <w:r>
        <w:rPr>
          <w:sz w:val="24"/>
        </w:rPr>
        <w:t xml:space="preserve"> </w:t>
      </w:r>
      <w:r>
        <w:rPr>
          <w:rFonts w:hint="eastAsia"/>
          <w:sz w:val="24"/>
        </w:rPr>
        <w:t>甲方有义务按协议书之付费条款按时足额支付乙方相关服务费。</w:t>
      </w:r>
    </w:p>
    <w:p>
      <w:pPr>
        <w:overflowPunct w:val="0"/>
        <w:autoSpaceDE w:val="0"/>
        <w:autoSpaceDN w:val="0"/>
        <w:snapToGrid w:val="0"/>
        <w:spacing w:line="480" w:lineRule="exact"/>
        <w:rPr>
          <w:sz w:val="24"/>
        </w:rPr>
      </w:pPr>
      <w:r>
        <w:rPr>
          <w:rFonts w:hint="eastAsia"/>
          <w:sz w:val="24"/>
        </w:rPr>
        <w:t>1.5 甲方需提供真实的产学研合作协议。</w:t>
      </w:r>
    </w:p>
    <w:p>
      <w:pPr>
        <w:overflowPunct w:val="0"/>
        <w:autoSpaceDE w:val="0"/>
        <w:autoSpaceDN w:val="0"/>
        <w:snapToGrid w:val="0"/>
        <w:spacing w:line="480" w:lineRule="exact"/>
        <w:rPr>
          <w:sz w:val="24"/>
        </w:rPr>
      </w:pPr>
      <w:r>
        <w:rPr>
          <w:rFonts w:hint="eastAsia"/>
          <w:sz w:val="24"/>
        </w:rPr>
        <w:t>1.6 甲方需提供符合高新技术企业认定工作指引要求的各项目的研发费用辅助账表。</w:t>
      </w:r>
    </w:p>
    <w:p>
      <w:pPr>
        <w:pStyle w:val="2"/>
        <w:keepNext w:val="0"/>
        <w:keepLines w:val="0"/>
        <w:overflowPunct w:val="0"/>
        <w:autoSpaceDE w:val="0"/>
        <w:autoSpaceDN w:val="0"/>
        <w:snapToGrid w:val="0"/>
        <w:spacing w:before="120" w:afterLines="50" w:line="440" w:lineRule="exact"/>
        <w:rPr>
          <w:sz w:val="28"/>
          <w:szCs w:val="28"/>
        </w:rPr>
      </w:pPr>
      <w:r>
        <w:rPr>
          <w:rFonts w:hint="eastAsia"/>
          <w:sz w:val="28"/>
          <w:szCs w:val="28"/>
        </w:rPr>
        <w:t>2、乙方的责任和义务</w:t>
      </w:r>
    </w:p>
    <w:p>
      <w:pPr>
        <w:overflowPunct w:val="0"/>
        <w:autoSpaceDE w:val="0"/>
        <w:autoSpaceDN w:val="0"/>
        <w:snapToGrid w:val="0"/>
        <w:spacing w:line="480" w:lineRule="exact"/>
        <w:rPr>
          <w:sz w:val="24"/>
        </w:rPr>
      </w:pPr>
      <w:r>
        <w:rPr>
          <w:rFonts w:hint="eastAsia"/>
          <w:sz w:val="24"/>
        </w:rPr>
        <w:t>2.1 乙方严格按照高新技术企业申报要求，对甲方提供的各类材料进行组织和整理，即包括：</w:t>
      </w:r>
    </w:p>
    <w:p>
      <w:pPr>
        <w:overflowPunct w:val="0"/>
        <w:autoSpaceDE w:val="0"/>
        <w:autoSpaceDN w:val="0"/>
        <w:snapToGrid w:val="0"/>
        <w:spacing w:line="480" w:lineRule="exact"/>
        <w:ind w:firstLine="480" w:firstLineChars="200"/>
        <w:rPr>
          <w:sz w:val="24"/>
        </w:rPr>
      </w:pPr>
      <w:r>
        <w:rPr>
          <w:rFonts w:hint="eastAsia"/>
          <w:sz w:val="24"/>
        </w:rPr>
        <w:t>组织召开高新认定启动会，企业现状分析、申报方案策划与建议、整体方案设计、成果转化方案设计、撰写申报书、对外开放平台的设计、知识产权与高新收入的逻辑关系判定与设计、高新申报整套材料逻辑关系设计、各项制度规范化撰写调整，RD、PS等相关文件的撰写及整理、研发费归集指导、财务疑难问题分析等高新申请材料的填写编制、网上提交、材料装订上报以及后期持续状态跟踪，确保甲方顺利取得资质。</w:t>
      </w:r>
    </w:p>
    <w:p>
      <w:pPr>
        <w:overflowPunct w:val="0"/>
        <w:autoSpaceDE w:val="0"/>
        <w:autoSpaceDN w:val="0"/>
        <w:snapToGrid w:val="0"/>
        <w:spacing w:line="480" w:lineRule="exact"/>
        <w:ind w:firstLine="480" w:firstLineChars="200"/>
        <w:rPr>
          <w:rFonts w:hint="eastAsia" w:eastAsia="宋体"/>
          <w:sz w:val="24"/>
          <w:highlight w:val="none"/>
          <w:lang w:val="en-US" w:eastAsia="zh-CN"/>
        </w:rPr>
      </w:pPr>
      <w:r>
        <w:rPr>
          <w:rFonts w:hint="eastAsia"/>
          <w:sz w:val="24"/>
          <w:highlight w:val="none"/>
        </w:rPr>
        <w:t>提供符合资质要求的中介机构出具的高新收入专项审计报告、研发费用专项审计报告</w:t>
      </w:r>
      <w:r>
        <w:rPr>
          <w:rFonts w:hint="eastAsia"/>
          <w:sz w:val="24"/>
          <w:highlight w:val="none"/>
          <w:lang w:eastAsia="zh-CN"/>
        </w:rPr>
        <w:t>。</w:t>
      </w:r>
    </w:p>
    <w:p>
      <w:pPr>
        <w:overflowPunct w:val="0"/>
        <w:autoSpaceDE w:val="0"/>
        <w:autoSpaceDN w:val="0"/>
        <w:snapToGrid w:val="0"/>
        <w:spacing w:line="480" w:lineRule="exact"/>
        <w:rPr>
          <w:sz w:val="24"/>
        </w:rPr>
      </w:pPr>
      <w:r>
        <w:rPr>
          <w:rFonts w:hint="eastAsia"/>
          <w:sz w:val="24"/>
        </w:rPr>
        <w:t>2.2 甲方的高新技术企业认定在官方网站“高新技术企业认定管理工作网：</w:t>
      </w:r>
      <w:r>
        <w:fldChar w:fldCharType="begin"/>
      </w:r>
      <w:r>
        <w:instrText xml:space="preserve"> HYPERLINK "http://www.innocom.gov.cn" </w:instrText>
      </w:r>
      <w:r>
        <w:fldChar w:fldCharType="separate"/>
      </w:r>
      <w:r>
        <w:rPr>
          <w:rFonts w:hint="eastAsia"/>
          <w:sz w:val="24"/>
        </w:rPr>
        <w:t>www.innocom.gov.cn</w:t>
      </w:r>
      <w:r>
        <w:rPr>
          <w:rFonts w:hint="eastAsia"/>
          <w:sz w:val="24"/>
        </w:rPr>
        <w:fldChar w:fldCharType="end"/>
      </w:r>
      <w:r>
        <w:rPr>
          <w:rFonts w:hint="eastAsia"/>
          <w:sz w:val="24"/>
        </w:rPr>
        <w:t>”公示10个工作日无异议，视为乙方圆满完成技术咨询服务，乙方应以书面和电子文档形式各提交一份完整的项目申报资料，交于甲方存档备案。</w:t>
      </w:r>
    </w:p>
    <w:p>
      <w:pPr>
        <w:overflowPunct w:val="0"/>
        <w:autoSpaceDE w:val="0"/>
        <w:autoSpaceDN w:val="0"/>
        <w:snapToGrid w:val="0"/>
        <w:spacing w:line="480" w:lineRule="exact"/>
        <w:rPr>
          <w:sz w:val="24"/>
        </w:rPr>
      </w:pPr>
      <w:r>
        <w:rPr>
          <w:rFonts w:hint="eastAsia"/>
          <w:sz w:val="24"/>
        </w:rPr>
        <w:t>2.3</w:t>
      </w:r>
      <w:r>
        <w:rPr>
          <w:sz w:val="24"/>
        </w:rPr>
        <w:t xml:space="preserve"> </w:t>
      </w:r>
      <w:r>
        <w:rPr>
          <w:rFonts w:hint="eastAsia"/>
          <w:sz w:val="24"/>
        </w:rPr>
        <w:t>乙方有义务对甲方提供的全部文字、图表、数据等资料以及其他任何形式的文件妥善保管，并采取相应的保密措施，严防泄密。</w:t>
      </w:r>
    </w:p>
    <w:p>
      <w:pPr>
        <w:overflowPunct w:val="0"/>
        <w:autoSpaceDE w:val="0"/>
        <w:autoSpaceDN w:val="0"/>
        <w:snapToGrid w:val="0"/>
        <w:spacing w:line="480" w:lineRule="exact"/>
        <w:rPr>
          <w:sz w:val="24"/>
        </w:rPr>
      </w:pPr>
      <w:r>
        <w:rPr>
          <w:rFonts w:hint="eastAsia"/>
          <w:sz w:val="24"/>
        </w:rPr>
        <w:t>2.4 乙方在提供咨询服务及代理申报过程中应当谨慎行事，妥善保管甲方提交的材料，防止丢失、毁损，并及时制定方案、提交申请。</w:t>
      </w:r>
    </w:p>
    <w:p>
      <w:pPr>
        <w:pStyle w:val="2"/>
        <w:keepNext w:val="0"/>
        <w:keepLines w:val="0"/>
        <w:overflowPunct w:val="0"/>
        <w:autoSpaceDE w:val="0"/>
        <w:autoSpaceDN w:val="0"/>
        <w:snapToGrid w:val="0"/>
        <w:spacing w:before="120" w:afterLines="50" w:line="440" w:lineRule="exact"/>
        <w:rPr>
          <w:sz w:val="28"/>
          <w:szCs w:val="28"/>
        </w:rPr>
      </w:pPr>
      <w:r>
        <w:rPr>
          <w:rFonts w:hint="eastAsia"/>
          <w:sz w:val="28"/>
          <w:szCs w:val="28"/>
        </w:rPr>
        <w:t>3、费用的支付</w:t>
      </w:r>
    </w:p>
    <w:p>
      <w:pPr>
        <w:overflowPunct w:val="0"/>
        <w:autoSpaceDE w:val="0"/>
        <w:autoSpaceDN w:val="0"/>
        <w:snapToGrid w:val="0"/>
        <w:spacing w:line="480" w:lineRule="exact"/>
        <w:rPr>
          <w:sz w:val="24"/>
        </w:rPr>
      </w:pPr>
      <w:r>
        <w:rPr>
          <w:rFonts w:hint="eastAsia"/>
          <w:sz w:val="24"/>
        </w:rPr>
        <w:t>3.1 本协议所涉及的一切费用，采用汇款或支票方式支付；</w:t>
      </w:r>
    </w:p>
    <w:p>
      <w:pPr>
        <w:overflowPunct w:val="0"/>
        <w:autoSpaceDE w:val="0"/>
        <w:autoSpaceDN w:val="0"/>
        <w:snapToGrid w:val="0"/>
        <w:spacing w:line="480" w:lineRule="exact"/>
        <w:rPr>
          <w:sz w:val="24"/>
        </w:rPr>
      </w:pPr>
      <w:r>
        <w:rPr>
          <w:rFonts w:hint="eastAsia"/>
          <w:sz w:val="24"/>
        </w:rPr>
        <w:t>3.2 双方协商确定本协议项目的服务内容及收费标准，内容如下：</w:t>
      </w:r>
    </w:p>
    <w:p>
      <w:pPr>
        <w:overflowPunct w:val="0"/>
        <w:autoSpaceDE w:val="0"/>
        <w:autoSpaceDN w:val="0"/>
        <w:snapToGrid w:val="0"/>
        <w:spacing w:line="480" w:lineRule="exact"/>
        <w:rPr>
          <w:sz w:val="24"/>
        </w:rPr>
      </w:pPr>
      <w:r>
        <w:rPr>
          <w:rFonts w:hint="eastAsia"/>
          <w:sz w:val="24"/>
        </w:rPr>
        <w:t>3.2.1 本协议各项费用情况明细如下：</w:t>
      </w:r>
    </w:p>
    <w:p>
      <w:pPr>
        <w:overflowPunct w:val="0"/>
        <w:autoSpaceDE w:val="0"/>
        <w:autoSpaceDN w:val="0"/>
        <w:snapToGrid w:val="0"/>
        <w:spacing w:line="480" w:lineRule="exact"/>
        <w:jc w:val="center"/>
        <w:rPr>
          <w:sz w:val="24"/>
          <w:highlight w:val="yellow"/>
        </w:rPr>
      </w:pPr>
      <w:r>
        <w:rPr>
          <w:rFonts w:hint="eastAsia" w:ascii="微软雅黑" w:hAnsi="微软雅黑" w:eastAsia="微软雅黑"/>
          <w:b/>
          <w:sz w:val="18"/>
          <w:szCs w:val="18"/>
        </w:rPr>
        <w:t>项目费用表</w:t>
      </w:r>
    </w:p>
    <w:tbl>
      <w:tblPr>
        <w:tblStyle w:val="11"/>
        <w:tblW w:w="88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736"/>
        <w:gridCol w:w="1092"/>
        <w:gridCol w:w="1824"/>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807" w:type="dxa"/>
            <w:vAlign w:val="center"/>
          </w:tcPr>
          <w:p>
            <w:pPr>
              <w:widowControl/>
              <w:jc w:val="center"/>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序号</w:t>
            </w:r>
          </w:p>
        </w:tc>
        <w:tc>
          <w:tcPr>
            <w:tcW w:w="2736" w:type="dxa"/>
            <w:vAlign w:val="center"/>
          </w:tcPr>
          <w:p>
            <w:pPr>
              <w:widowControl/>
              <w:jc w:val="center"/>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名称</w:t>
            </w:r>
          </w:p>
        </w:tc>
        <w:tc>
          <w:tcPr>
            <w:tcW w:w="1092" w:type="dxa"/>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b/>
                <w:bCs/>
                <w:kern w:val="0"/>
                <w:sz w:val="16"/>
                <w:szCs w:val="16"/>
              </w:rPr>
              <w:t>数量</w:t>
            </w:r>
          </w:p>
        </w:tc>
        <w:tc>
          <w:tcPr>
            <w:tcW w:w="1824" w:type="dxa"/>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b/>
                <w:bCs/>
                <w:color w:val="000000"/>
                <w:kern w:val="0"/>
                <w:sz w:val="16"/>
                <w:szCs w:val="16"/>
              </w:rPr>
              <w:t>单价（元）</w:t>
            </w:r>
          </w:p>
        </w:tc>
        <w:tc>
          <w:tcPr>
            <w:tcW w:w="2439" w:type="dxa"/>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b/>
                <w:bCs/>
                <w:color w:val="000000"/>
                <w:kern w:val="0"/>
                <w:sz w:val="16"/>
                <w:szCs w:val="16"/>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807" w:type="dxa"/>
            <w:shd w:val="clear" w:color="auto" w:fill="auto"/>
            <w:vAlign w:val="center"/>
          </w:tcPr>
          <w:p>
            <w:pPr>
              <w:widowControl/>
              <w:jc w:val="center"/>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1</w:t>
            </w:r>
          </w:p>
        </w:tc>
        <w:tc>
          <w:tcPr>
            <w:tcW w:w="2736" w:type="dxa"/>
            <w:shd w:val="clear" w:color="auto" w:fill="auto"/>
            <w:vAlign w:val="center"/>
          </w:tcPr>
          <w:p>
            <w:pPr>
              <w:widowControl/>
              <w:jc w:val="center"/>
              <w:rPr>
                <w:rFonts w:ascii="微软雅黑" w:hAnsi="微软雅黑" w:eastAsia="微软雅黑" w:cs="宋体"/>
                <w:kern w:val="0"/>
                <w:sz w:val="16"/>
                <w:szCs w:val="16"/>
              </w:rPr>
            </w:pPr>
            <w:r>
              <w:rPr>
                <w:rFonts w:hint="eastAsia" w:ascii="微软雅黑" w:hAnsi="微软雅黑" w:eastAsia="微软雅黑" w:cs="宋体"/>
                <w:kern w:val="0"/>
                <w:sz w:val="16"/>
                <w:szCs w:val="16"/>
              </w:rPr>
              <w:t>高企申报代理服务费</w:t>
            </w:r>
          </w:p>
        </w:tc>
        <w:tc>
          <w:tcPr>
            <w:tcW w:w="1092" w:type="dxa"/>
            <w:shd w:val="clear" w:color="auto" w:fill="auto"/>
            <w:vAlign w:val="center"/>
          </w:tcPr>
          <w:p>
            <w:pPr>
              <w:widowControl/>
              <w:jc w:val="center"/>
              <w:rPr>
                <w:rFonts w:ascii="微软雅黑" w:hAnsi="微软雅黑" w:eastAsia="微软雅黑" w:cs="宋体"/>
                <w:kern w:val="0"/>
                <w:sz w:val="16"/>
                <w:szCs w:val="16"/>
              </w:rPr>
            </w:pPr>
            <w:r>
              <w:rPr>
                <w:rFonts w:hint="eastAsia" w:ascii="微软雅黑" w:hAnsi="微软雅黑" w:eastAsia="微软雅黑" w:cs="宋体"/>
                <w:kern w:val="0"/>
                <w:sz w:val="16"/>
                <w:szCs w:val="16"/>
              </w:rPr>
              <w:t>1</w:t>
            </w:r>
          </w:p>
        </w:tc>
        <w:tc>
          <w:tcPr>
            <w:tcW w:w="1824" w:type="dxa"/>
            <w:shd w:val="clear" w:color="auto" w:fill="auto"/>
            <w:vAlign w:val="center"/>
          </w:tcPr>
          <w:p>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20000</w:t>
            </w:r>
          </w:p>
        </w:tc>
        <w:tc>
          <w:tcPr>
            <w:tcW w:w="2439" w:type="dxa"/>
            <w:shd w:val="clear" w:color="auto" w:fill="auto"/>
            <w:vAlign w:val="center"/>
          </w:tcPr>
          <w:p>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807" w:type="dxa"/>
            <w:shd w:val="clear" w:color="auto" w:fill="auto"/>
            <w:vAlign w:val="center"/>
          </w:tcPr>
          <w:p>
            <w:pPr>
              <w:widowControl/>
              <w:jc w:val="center"/>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2</w:t>
            </w:r>
          </w:p>
        </w:tc>
        <w:tc>
          <w:tcPr>
            <w:tcW w:w="2736" w:type="dxa"/>
            <w:shd w:val="clear" w:color="auto" w:fill="auto"/>
            <w:vAlign w:val="center"/>
          </w:tcPr>
          <w:p>
            <w:pPr>
              <w:widowControl/>
              <w:jc w:val="center"/>
              <w:rPr>
                <w:rFonts w:ascii="微软雅黑" w:hAnsi="微软雅黑" w:eastAsia="微软雅黑" w:cs="宋体"/>
                <w:kern w:val="0"/>
                <w:sz w:val="16"/>
                <w:szCs w:val="16"/>
              </w:rPr>
            </w:pPr>
            <w:r>
              <w:rPr>
                <w:rFonts w:hint="eastAsia" w:ascii="微软雅黑" w:hAnsi="微软雅黑" w:eastAsia="微软雅黑" w:cs="宋体"/>
                <w:kern w:val="0"/>
                <w:sz w:val="16"/>
                <w:szCs w:val="16"/>
              </w:rPr>
              <w:t>高新专项审计报告</w:t>
            </w:r>
          </w:p>
        </w:tc>
        <w:tc>
          <w:tcPr>
            <w:tcW w:w="1092" w:type="dxa"/>
            <w:shd w:val="clear" w:color="auto" w:fill="auto"/>
            <w:vAlign w:val="center"/>
          </w:tcPr>
          <w:p>
            <w:pPr>
              <w:widowControl/>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w:t>
            </w:r>
          </w:p>
        </w:tc>
        <w:tc>
          <w:tcPr>
            <w:tcW w:w="1824" w:type="dxa"/>
            <w:shd w:val="clear" w:color="auto" w:fill="auto"/>
            <w:vAlign w:val="center"/>
          </w:tcPr>
          <w:p>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10000</w:t>
            </w:r>
          </w:p>
        </w:tc>
        <w:tc>
          <w:tcPr>
            <w:tcW w:w="2439" w:type="dxa"/>
            <w:shd w:val="clear" w:color="auto" w:fill="auto"/>
            <w:vAlign w:val="center"/>
          </w:tcPr>
          <w:p>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07" w:type="dxa"/>
            <w:shd w:val="clear" w:color="auto" w:fill="auto"/>
            <w:vAlign w:val="center"/>
          </w:tcPr>
          <w:p>
            <w:pPr>
              <w:widowControl/>
              <w:jc w:val="center"/>
              <w:rPr>
                <w:rFonts w:ascii="微软雅黑" w:hAnsi="微软雅黑" w:eastAsia="微软雅黑" w:cs="宋体"/>
                <w:b/>
                <w:bCs/>
                <w:kern w:val="0"/>
                <w:sz w:val="16"/>
                <w:szCs w:val="16"/>
              </w:rPr>
            </w:pPr>
          </w:p>
        </w:tc>
        <w:tc>
          <w:tcPr>
            <w:tcW w:w="2736" w:type="dxa"/>
            <w:shd w:val="clear" w:color="auto" w:fill="auto"/>
            <w:vAlign w:val="center"/>
          </w:tcPr>
          <w:p>
            <w:pPr>
              <w:widowControl/>
              <w:jc w:val="center"/>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合计</w:t>
            </w:r>
          </w:p>
        </w:tc>
        <w:tc>
          <w:tcPr>
            <w:tcW w:w="2916" w:type="dxa"/>
            <w:gridSpan w:val="2"/>
            <w:shd w:val="clear" w:color="auto" w:fill="auto"/>
            <w:vAlign w:val="center"/>
          </w:tcPr>
          <w:p>
            <w:pPr>
              <w:widowControl/>
              <w:jc w:val="center"/>
              <w:rPr>
                <w:rFonts w:ascii="微软雅黑" w:hAnsi="微软雅黑" w:eastAsia="微软雅黑" w:cs="宋体"/>
                <w:kern w:val="0"/>
                <w:sz w:val="16"/>
                <w:szCs w:val="16"/>
              </w:rPr>
            </w:pPr>
            <w:r>
              <w:rPr>
                <w:rFonts w:hint="eastAsia" w:ascii="微软雅黑" w:hAnsi="微软雅黑" w:eastAsia="微软雅黑" w:cs="宋体"/>
                <w:kern w:val="0"/>
                <w:sz w:val="16"/>
                <w:szCs w:val="16"/>
              </w:rPr>
              <w:t>叁万元整</w:t>
            </w:r>
          </w:p>
        </w:tc>
        <w:tc>
          <w:tcPr>
            <w:tcW w:w="2439" w:type="dxa"/>
            <w:shd w:val="clear" w:color="auto" w:fill="auto"/>
            <w:vAlign w:val="center"/>
          </w:tcPr>
          <w:p>
            <w:pPr>
              <w:widowControl/>
              <w:jc w:val="center"/>
              <w:rPr>
                <w:rFonts w:ascii="微软雅黑" w:hAnsi="微软雅黑" w:eastAsia="微软雅黑" w:cs="宋体"/>
                <w:kern w:val="0"/>
                <w:sz w:val="16"/>
                <w:szCs w:val="16"/>
              </w:rPr>
            </w:pPr>
            <w:r>
              <w:rPr>
                <w:rFonts w:hint="eastAsia" w:ascii="微软雅黑" w:hAnsi="微软雅黑" w:eastAsia="微软雅黑" w:cs="宋体"/>
                <w:kern w:val="0"/>
                <w:sz w:val="16"/>
                <w:szCs w:val="16"/>
              </w:rPr>
              <w:t>3</w:t>
            </w:r>
            <w:r>
              <w:rPr>
                <w:rFonts w:hint="eastAsia" w:ascii="微软雅黑" w:hAnsi="微软雅黑" w:eastAsia="微软雅黑" w:cs="宋体"/>
                <w:kern w:val="0"/>
                <w:sz w:val="16"/>
                <w:szCs w:val="16"/>
                <w:lang w:val="en-US" w:eastAsia="zh-CN"/>
              </w:rPr>
              <w:t>00</w:t>
            </w:r>
            <w:r>
              <w:rPr>
                <w:rFonts w:hint="eastAsia" w:ascii="微软雅黑" w:hAnsi="微软雅黑" w:eastAsia="微软雅黑" w:cs="宋体"/>
                <w:kern w:val="0"/>
                <w:sz w:val="16"/>
                <w:szCs w:val="16"/>
              </w:rPr>
              <w:t>00.00元</w:t>
            </w:r>
          </w:p>
        </w:tc>
      </w:tr>
    </w:tbl>
    <w:p>
      <w:pPr>
        <w:overflowPunct w:val="0"/>
        <w:autoSpaceDE w:val="0"/>
        <w:autoSpaceDN w:val="0"/>
        <w:snapToGrid w:val="0"/>
        <w:spacing w:line="480" w:lineRule="exact"/>
        <w:rPr>
          <w:sz w:val="24"/>
          <w:szCs w:val="24"/>
        </w:rPr>
      </w:pPr>
      <w:r>
        <w:rPr>
          <w:rFonts w:hint="eastAsia"/>
          <w:sz w:val="24"/>
          <w:szCs w:val="24"/>
        </w:rPr>
        <w:t>3.2.2 付款方式：</w:t>
      </w:r>
    </w:p>
    <w:p>
      <w:pPr>
        <w:overflowPunct w:val="0"/>
        <w:autoSpaceDE w:val="0"/>
        <w:autoSpaceDN w:val="0"/>
        <w:snapToGrid w:val="0"/>
        <w:spacing w:line="480" w:lineRule="exact"/>
        <w:ind w:firstLine="420"/>
        <w:rPr>
          <w:sz w:val="24"/>
          <w:shd w:val="clear" w:color="auto" w:fill="FFFF00"/>
        </w:rPr>
      </w:pPr>
      <w:r>
        <w:rPr>
          <w:rFonts w:hint="eastAsia"/>
          <w:sz w:val="24"/>
        </w:rPr>
        <w:t>1. 待合同签订15个工作日内甲方支付首款壹万元整（1</w:t>
      </w:r>
      <w:r>
        <w:rPr>
          <w:rFonts w:hint="eastAsia"/>
          <w:sz w:val="24"/>
          <w:lang w:val="en-US" w:eastAsia="zh-CN"/>
        </w:rPr>
        <w:t>000</w:t>
      </w:r>
      <w:r>
        <w:rPr>
          <w:rFonts w:hint="eastAsia"/>
          <w:sz w:val="24"/>
        </w:rPr>
        <w:t>0.00元）用于前期的资质办理。乙方提供与</w:t>
      </w:r>
      <w:r>
        <w:rPr>
          <w:rFonts w:hint="eastAsia"/>
          <w:b/>
          <w:bCs/>
          <w:sz w:val="24"/>
          <w:u w:val="single"/>
        </w:rPr>
        <w:t>支付金额相等的</w:t>
      </w:r>
      <w:r>
        <w:rPr>
          <w:rFonts w:hint="eastAsia"/>
          <w:sz w:val="24"/>
          <w:szCs w:val="22"/>
        </w:rPr>
        <w:t>增值税专用发票</w:t>
      </w:r>
      <w:r>
        <w:rPr>
          <w:rFonts w:hint="eastAsia" w:ascii="宋体" w:hAnsi="宋体"/>
          <w:sz w:val="24"/>
          <w:szCs w:val="24"/>
        </w:rPr>
        <w:t>给</w:t>
      </w:r>
      <w:r>
        <w:rPr>
          <w:rFonts w:hint="eastAsia"/>
          <w:sz w:val="24"/>
          <w:szCs w:val="22"/>
        </w:rPr>
        <w:t>甲方。</w:t>
      </w:r>
    </w:p>
    <w:p>
      <w:pPr>
        <w:overflowPunct w:val="0"/>
        <w:autoSpaceDE w:val="0"/>
        <w:autoSpaceDN w:val="0"/>
        <w:snapToGrid w:val="0"/>
        <w:spacing w:line="480" w:lineRule="exact"/>
        <w:ind w:firstLine="420"/>
        <w:rPr>
          <w:sz w:val="24"/>
        </w:rPr>
      </w:pPr>
      <w:r>
        <w:rPr>
          <w:rFonts w:hint="eastAsia"/>
          <w:sz w:val="24"/>
        </w:rPr>
        <w:t>2. 甲方国家高新技术企业资格认定通过，并在“高新技术企业认定管理工作网：</w:t>
      </w:r>
      <w:r>
        <w:fldChar w:fldCharType="begin"/>
      </w:r>
      <w:r>
        <w:instrText xml:space="preserve"> HYPERLINK "http://www.innocom.gov.cn" </w:instrText>
      </w:r>
      <w:r>
        <w:fldChar w:fldCharType="separate"/>
      </w:r>
      <w:r>
        <w:rPr>
          <w:rFonts w:hint="eastAsia"/>
          <w:sz w:val="24"/>
        </w:rPr>
        <w:t>www.innocom.gov.cn</w:t>
      </w:r>
      <w:r>
        <w:rPr>
          <w:rFonts w:hint="eastAsia"/>
          <w:sz w:val="24"/>
        </w:rPr>
        <w:fldChar w:fldCharType="end"/>
      </w:r>
      <w:r>
        <w:rPr>
          <w:rFonts w:hint="eastAsia"/>
          <w:sz w:val="24"/>
        </w:rPr>
        <w:t>”公示10个工作日后，甲方支付</w:t>
      </w:r>
      <w:r>
        <w:rPr>
          <w:rFonts w:hint="eastAsia"/>
          <w:sz w:val="24"/>
          <w:lang w:val="en-US" w:eastAsia="zh-CN"/>
        </w:rPr>
        <w:t>尾</w:t>
      </w:r>
      <w:r>
        <w:rPr>
          <w:rFonts w:hint="eastAsia"/>
          <w:sz w:val="24"/>
        </w:rPr>
        <w:t>款</w:t>
      </w:r>
      <w:r>
        <w:rPr>
          <w:rFonts w:hint="eastAsia"/>
          <w:sz w:val="24"/>
          <w:lang w:val="en-US" w:eastAsia="zh-CN"/>
        </w:rPr>
        <w:t>贰万</w:t>
      </w:r>
      <w:r>
        <w:rPr>
          <w:rFonts w:hint="eastAsia"/>
          <w:sz w:val="24"/>
        </w:rPr>
        <w:t>元整（</w:t>
      </w:r>
      <w:r>
        <w:rPr>
          <w:rFonts w:hint="eastAsia"/>
          <w:sz w:val="24"/>
          <w:lang w:val="en-US" w:eastAsia="zh-CN"/>
        </w:rPr>
        <w:t>2000</w:t>
      </w:r>
      <w:r>
        <w:rPr>
          <w:rFonts w:hint="eastAsia"/>
          <w:sz w:val="24"/>
        </w:rPr>
        <w:t>0.00元），乙方提供</w:t>
      </w:r>
      <w:r>
        <w:rPr>
          <w:rFonts w:hint="eastAsia"/>
          <w:b/>
          <w:bCs/>
          <w:sz w:val="24"/>
          <w:u w:val="single"/>
        </w:rPr>
        <w:t>余款</w:t>
      </w:r>
      <w:r>
        <w:rPr>
          <w:rFonts w:hint="eastAsia"/>
          <w:sz w:val="24"/>
          <w:szCs w:val="22"/>
        </w:rPr>
        <w:t>增值税专用发票</w:t>
      </w:r>
      <w:r>
        <w:rPr>
          <w:rFonts w:hint="eastAsia" w:ascii="宋体" w:hAnsi="宋体"/>
          <w:sz w:val="24"/>
          <w:szCs w:val="24"/>
        </w:rPr>
        <w:t>给</w:t>
      </w:r>
      <w:r>
        <w:rPr>
          <w:rFonts w:hint="eastAsia"/>
          <w:sz w:val="24"/>
          <w:szCs w:val="22"/>
        </w:rPr>
        <w:t>甲方，甲方自收到发票后5个工作日内支付发票等额费用给乙方。</w:t>
      </w:r>
    </w:p>
    <w:p>
      <w:pPr>
        <w:overflowPunct w:val="0"/>
        <w:autoSpaceDE w:val="0"/>
        <w:autoSpaceDN w:val="0"/>
        <w:snapToGrid w:val="0"/>
        <w:spacing w:line="480" w:lineRule="exact"/>
        <w:rPr>
          <w:rFonts w:ascii="宋体" w:hAnsi="宋体" w:cs="宋体"/>
          <w:sz w:val="24"/>
          <w:szCs w:val="24"/>
        </w:rPr>
      </w:pPr>
      <w:r>
        <w:rPr>
          <w:rFonts w:hint="eastAsia"/>
          <w:sz w:val="24"/>
          <w:szCs w:val="24"/>
        </w:rPr>
        <w:t xml:space="preserve">3.2.3 </w:t>
      </w:r>
      <w:r>
        <w:rPr>
          <w:rFonts w:hint="eastAsia" w:ascii="宋体" w:hAnsi="宋体" w:cs="宋体"/>
          <w:sz w:val="24"/>
          <w:szCs w:val="24"/>
        </w:rPr>
        <w:t>开具增值税专用发票：税率6%，发票明细为技术服务费。</w:t>
      </w:r>
    </w:p>
    <w:p>
      <w:pPr>
        <w:overflowPunct w:val="0"/>
        <w:autoSpaceDE w:val="0"/>
        <w:autoSpaceDN w:val="0"/>
        <w:snapToGrid w:val="0"/>
        <w:spacing w:line="480" w:lineRule="exact"/>
        <w:ind w:firstLine="480"/>
        <w:rPr>
          <w:rFonts w:ascii="宋体" w:hAnsi="宋体" w:cs="宋体"/>
          <w:b/>
          <w:bCs/>
          <w:sz w:val="24"/>
          <w:szCs w:val="24"/>
        </w:rPr>
      </w:pPr>
      <w:r>
        <w:rPr>
          <w:rFonts w:hint="eastAsia" w:ascii="宋体" w:hAnsi="宋体" w:cs="宋体"/>
          <w:b/>
          <w:bCs/>
          <w:sz w:val="24"/>
          <w:szCs w:val="24"/>
        </w:rPr>
        <w:t>甲方信息：</w:t>
      </w:r>
    </w:p>
    <w:p>
      <w:pPr>
        <w:shd w:val="clear" w:color="auto"/>
        <w:spacing w:line="360" w:lineRule="auto"/>
        <w:ind w:firstLine="424" w:firstLineChars="177"/>
        <w:rPr>
          <w:rFonts w:hint="eastAsia"/>
          <w:sz w:val="24"/>
          <w:szCs w:val="22"/>
          <w:lang w:val="en-US" w:eastAsia="zh-CN"/>
        </w:rPr>
      </w:pPr>
      <w:r>
        <w:rPr>
          <w:rFonts w:hint="eastAsia"/>
          <w:sz w:val="24"/>
          <w:szCs w:val="22"/>
        </w:rPr>
        <w:t>开票名称：</w:t>
      </w:r>
      <w:r>
        <w:rPr>
          <w:rFonts w:hint="eastAsia"/>
          <w:sz w:val="24"/>
          <w:szCs w:val="22"/>
          <w:lang w:val="en-US" w:eastAsia="zh-CN"/>
        </w:rPr>
        <w:t>北京兴安洁能源技术有限公司</w:t>
      </w:r>
    </w:p>
    <w:p>
      <w:pPr>
        <w:shd w:val="clear" w:color="auto"/>
        <w:spacing w:line="360" w:lineRule="auto"/>
        <w:ind w:firstLine="424" w:firstLineChars="177"/>
        <w:rPr>
          <w:rFonts w:hint="eastAsia" w:ascii="宋体" w:hAnsi="宋体" w:cs="宋体"/>
          <w:sz w:val="24"/>
          <w:szCs w:val="24"/>
        </w:rPr>
      </w:pPr>
      <w:r>
        <w:rPr>
          <w:rFonts w:hint="eastAsia" w:ascii="宋体" w:hAnsi="宋体" w:cs="宋体"/>
          <w:sz w:val="24"/>
          <w:szCs w:val="24"/>
        </w:rPr>
        <w:t>统一社会信用代码：</w:t>
      </w:r>
    </w:p>
    <w:p>
      <w:pPr>
        <w:shd w:val="clear" w:color="auto"/>
        <w:spacing w:line="360" w:lineRule="auto"/>
        <w:ind w:firstLine="424" w:firstLineChars="177"/>
        <w:rPr>
          <w:rFonts w:hint="eastAsia" w:ascii="宋体" w:hAnsi="宋体" w:cs="宋体"/>
          <w:sz w:val="24"/>
          <w:szCs w:val="24"/>
          <w:lang w:val="en-US" w:eastAsia="zh-CN"/>
        </w:rPr>
      </w:pPr>
      <w:r>
        <w:rPr>
          <w:rFonts w:hint="eastAsia" w:ascii="宋体" w:hAnsi="宋体" w:cs="宋体"/>
          <w:sz w:val="24"/>
          <w:szCs w:val="24"/>
        </w:rPr>
        <w:t>地址电话</w:t>
      </w:r>
      <w:r>
        <w:rPr>
          <w:rFonts w:hint="eastAsia" w:ascii="宋体" w:hAnsi="宋体" w:cs="宋体"/>
          <w:sz w:val="24"/>
          <w:szCs w:val="24"/>
          <w:lang w:eastAsia="zh-CN"/>
        </w:rPr>
        <w:t>：</w:t>
      </w:r>
      <w:r>
        <w:rPr>
          <w:rFonts w:hint="eastAsia" w:ascii="宋体" w:hAnsi="宋体" w:cs="宋体"/>
          <w:sz w:val="24"/>
          <w:szCs w:val="24"/>
          <w:lang w:val="en-US" w:eastAsia="zh-CN"/>
        </w:rPr>
        <w:t>北京市昌平区科技园区中兴路10号B213室</w:t>
      </w:r>
    </w:p>
    <w:p>
      <w:pPr>
        <w:shd w:val="clear" w:color="auto"/>
        <w:spacing w:line="360" w:lineRule="auto"/>
        <w:ind w:firstLine="424" w:firstLineChars="177"/>
        <w:rPr>
          <w:rFonts w:hint="default" w:ascii="宋体" w:hAnsi="宋体" w:eastAsia="宋体" w:cs="宋体"/>
          <w:sz w:val="24"/>
          <w:szCs w:val="24"/>
          <w:lang w:val="en-US" w:eastAsia="zh-CN"/>
        </w:rPr>
      </w:pPr>
      <w:r>
        <w:rPr>
          <w:rFonts w:hint="eastAsia" w:ascii="宋体" w:hAnsi="宋体" w:cs="宋体"/>
          <w:sz w:val="24"/>
          <w:szCs w:val="24"/>
          <w:lang w:val="en-US" w:eastAsia="zh-CN"/>
        </w:rPr>
        <w:t>联系电话：</w:t>
      </w:r>
      <w:r>
        <w:rPr>
          <w:rFonts w:hint="eastAsia" w:ascii="宋体" w:hAnsi="宋体" w:cs="宋体"/>
          <w:sz w:val="24"/>
          <w:szCs w:val="24"/>
        </w:rPr>
        <w:t>010-</w:t>
      </w:r>
      <w:r>
        <w:rPr>
          <w:rFonts w:hint="eastAsia" w:ascii="宋体" w:hAnsi="宋体" w:cs="宋体"/>
          <w:sz w:val="24"/>
          <w:szCs w:val="24"/>
          <w:lang w:val="en-US" w:eastAsia="zh-CN"/>
        </w:rPr>
        <w:t>89774857</w:t>
      </w:r>
    </w:p>
    <w:p>
      <w:pPr>
        <w:shd w:val="clear" w:color="auto"/>
        <w:spacing w:line="360" w:lineRule="auto"/>
        <w:ind w:firstLine="424" w:firstLineChars="177"/>
        <w:rPr>
          <w:rFonts w:ascii="宋体" w:hAnsi="宋体" w:cs="宋体"/>
          <w:sz w:val="24"/>
          <w:szCs w:val="24"/>
        </w:rPr>
      </w:pPr>
      <w:r>
        <w:rPr>
          <w:rFonts w:hint="eastAsia" w:ascii="宋体" w:hAnsi="宋体" w:cs="宋体"/>
          <w:sz w:val="24"/>
          <w:szCs w:val="24"/>
        </w:rPr>
        <w:t>开户行名称：</w:t>
      </w:r>
      <w:r>
        <w:rPr>
          <w:rFonts w:hint="eastAsia" w:ascii="宋体" w:hAnsi="宋体" w:cs="宋体"/>
          <w:sz w:val="24"/>
          <w:szCs w:val="24"/>
          <w:lang w:val="en-US" w:eastAsia="zh-CN"/>
        </w:rPr>
        <w:t>工行北京南口支行</w:t>
      </w:r>
    </w:p>
    <w:p>
      <w:pPr>
        <w:shd w:val="clear" w:color="auto"/>
        <w:overflowPunct w:val="0"/>
        <w:autoSpaceDE w:val="0"/>
        <w:autoSpaceDN w:val="0"/>
        <w:snapToGrid w:val="0"/>
        <w:spacing w:line="480" w:lineRule="exact"/>
        <w:ind w:firstLine="480" w:firstLineChars="200"/>
        <w:rPr>
          <w:rFonts w:ascii="宋体" w:hAnsi="宋体" w:cs="宋体"/>
          <w:sz w:val="24"/>
          <w:szCs w:val="24"/>
        </w:rPr>
      </w:pPr>
      <w:r>
        <w:rPr>
          <w:rFonts w:hint="eastAsia" w:ascii="宋体" w:hAnsi="宋体" w:cs="宋体"/>
          <w:sz w:val="24"/>
          <w:szCs w:val="24"/>
        </w:rPr>
        <w:t>账号：</w:t>
      </w:r>
      <w:r>
        <w:rPr>
          <w:rFonts w:hint="eastAsia" w:ascii="宋体" w:hAnsi="宋体" w:cs="宋体"/>
          <w:sz w:val="24"/>
          <w:szCs w:val="24"/>
          <w:lang w:val="en-US" w:eastAsia="zh-CN"/>
        </w:rPr>
        <w:t>0200011619200038050</w:t>
      </w:r>
    </w:p>
    <w:p>
      <w:pPr>
        <w:overflowPunct w:val="0"/>
        <w:autoSpaceDE w:val="0"/>
        <w:autoSpaceDN w:val="0"/>
        <w:snapToGrid w:val="0"/>
        <w:spacing w:line="480" w:lineRule="exact"/>
        <w:ind w:firstLine="482" w:firstLineChars="200"/>
        <w:rPr>
          <w:b/>
          <w:bCs/>
          <w:sz w:val="24"/>
        </w:rPr>
      </w:pPr>
      <w:r>
        <w:rPr>
          <w:rFonts w:hint="eastAsia"/>
          <w:b/>
          <w:bCs/>
          <w:sz w:val="24"/>
        </w:rPr>
        <w:t>乙方信息：</w:t>
      </w:r>
    </w:p>
    <w:p>
      <w:pPr>
        <w:spacing w:line="360" w:lineRule="auto"/>
        <w:ind w:firstLine="480" w:firstLineChars="200"/>
        <w:rPr>
          <w:rFonts w:ascii="宋体" w:hAnsi="宋体" w:cs="宋体"/>
          <w:sz w:val="24"/>
          <w:szCs w:val="24"/>
        </w:rPr>
      </w:pPr>
      <w:r>
        <w:rPr>
          <w:rFonts w:hint="eastAsia" w:ascii="宋体" w:hAnsi="宋体" w:cs="宋体"/>
          <w:sz w:val="24"/>
          <w:szCs w:val="24"/>
        </w:rPr>
        <w:t>公司名称：北京顺然天成咨询有限公司</w:t>
      </w:r>
    </w:p>
    <w:p>
      <w:pPr>
        <w:spacing w:line="360" w:lineRule="auto"/>
        <w:ind w:firstLine="480" w:firstLineChars="200"/>
        <w:rPr>
          <w:rFonts w:ascii="宋体" w:hAnsi="宋体" w:cs="宋体"/>
          <w:sz w:val="24"/>
          <w:szCs w:val="24"/>
        </w:rPr>
      </w:pPr>
      <w:r>
        <w:rPr>
          <w:rFonts w:hint="eastAsia" w:ascii="宋体" w:hAnsi="宋体" w:cs="宋体"/>
          <w:sz w:val="24"/>
          <w:szCs w:val="24"/>
        </w:rPr>
        <w:t>税务登记号：91110106688381453J</w:t>
      </w:r>
    </w:p>
    <w:p>
      <w:pPr>
        <w:spacing w:line="360" w:lineRule="auto"/>
        <w:ind w:firstLine="480" w:firstLineChars="200"/>
        <w:rPr>
          <w:rFonts w:ascii="宋体" w:hAnsi="宋体" w:cs="宋体"/>
          <w:sz w:val="24"/>
          <w:szCs w:val="24"/>
        </w:rPr>
      </w:pPr>
      <w:r>
        <w:rPr>
          <w:rFonts w:hint="eastAsia" w:ascii="宋体" w:hAnsi="宋体" w:cs="宋体"/>
          <w:sz w:val="24"/>
          <w:szCs w:val="24"/>
        </w:rPr>
        <w:t>开户银行：华夏银行丰台科技园支行</w:t>
      </w:r>
    </w:p>
    <w:p>
      <w:pPr>
        <w:spacing w:line="360" w:lineRule="auto"/>
        <w:ind w:firstLine="480" w:firstLineChars="200"/>
        <w:rPr>
          <w:rFonts w:ascii="宋体" w:hAnsi="宋体" w:cs="宋体"/>
          <w:sz w:val="24"/>
          <w:szCs w:val="24"/>
        </w:rPr>
      </w:pPr>
      <w:r>
        <w:rPr>
          <w:rFonts w:hint="eastAsia" w:ascii="宋体" w:hAnsi="宋体" w:cs="宋体"/>
          <w:sz w:val="24"/>
          <w:szCs w:val="24"/>
        </w:rPr>
        <w:t>银行账号：40712 0000 18191 0000 7699</w:t>
      </w:r>
    </w:p>
    <w:p>
      <w:pPr>
        <w:pStyle w:val="2"/>
        <w:keepNext w:val="0"/>
        <w:keepLines w:val="0"/>
        <w:overflowPunct w:val="0"/>
        <w:autoSpaceDE w:val="0"/>
        <w:autoSpaceDN w:val="0"/>
        <w:snapToGrid w:val="0"/>
        <w:spacing w:before="120" w:afterLines="50" w:line="440" w:lineRule="exact"/>
        <w:rPr>
          <w:sz w:val="28"/>
          <w:szCs w:val="28"/>
        </w:rPr>
      </w:pPr>
      <w:r>
        <w:rPr>
          <w:rFonts w:hint="eastAsia"/>
          <w:sz w:val="28"/>
          <w:szCs w:val="28"/>
        </w:rPr>
        <w:t>4、协议的生效、变更和解除</w:t>
      </w:r>
    </w:p>
    <w:p>
      <w:pPr>
        <w:overflowPunct w:val="0"/>
        <w:autoSpaceDE w:val="0"/>
        <w:autoSpaceDN w:val="0"/>
        <w:snapToGrid w:val="0"/>
        <w:spacing w:line="480" w:lineRule="exact"/>
        <w:rPr>
          <w:sz w:val="24"/>
        </w:rPr>
      </w:pPr>
      <w:r>
        <w:rPr>
          <w:rFonts w:hint="eastAsia"/>
          <w:sz w:val="24"/>
        </w:rPr>
        <w:t>4.1</w:t>
      </w:r>
      <w:r>
        <w:rPr>
          <w:sz w:val="24"/>
        </w:rPr>
        <w:t xml:space="preserve"> </w:t>
      </w:r>
      <w:r>
        <w:rPr>
          <w:rFonts w:hint="eastAsia"/>
          <w:sz w:val="24"/>
        </w:rPr>
        <w:t>本协议自签订之日起，即时生效。</w:t>
      </w:r>
    </w:p>
    <w:p>
      <w:pPr>
        <w:overflowPunct w:val="0"/>
        <w:autoSpaceDE w:val="0"/>
        <w:autoSpaceDN w:val="0"/>
        <w:snapToGrid w:val="0"/>
        <w:spacing w:line="480" w:lineRule="exact"/>
        <w:rPr>
          <w:sz w:val="24"/>
        </w:rPr>
      </w:pPr>
      <w:r>
        <w:rPr>
          <w:rFonts w:hint="eastAsia"/>
          <w:sz w:val="24"/>
        </w:rPr>
        <w:t>4.</w:t>
      </w:r>
      <w:r>
        <w:rPr>
          <w:sz w:val="24"/>
        </w:rPr>
        <w:t>2</w:t>
      </w:r>
      <w:r>
        <w:rPr>
          <w:rFonts w:hint="eastAsia"/>
          <w:sz w:val="24"/>
        </w:rPr>
        <w:t xml:space="preserve"> 自本协议生效之日起，甲方以何种理由中止申报（乙方违约或重大过失造成的甲方</w:t>
      </w:r>
      <w:r>
        <w:rPr>
          <w:rFonts w:hint="eastAsia"/>
          <w:sz w:val="24"/>
          <w:shd w:val="clear" w:color="auto" w:fill="FFFFFF"/>
        </w:rPr>
        <w:t>中止申报除外），</w:t>
      </w:r>
      <w:r>
        <w:rPr>
          <w:rFonts w:hint="eastAsia"/>
          <w:sz w:val="24"/>
        </w:rPr>
        <w:t>在本合同签署之日起一年内，甲方获得国家高新技术企业资质的，均应视为甲方利用了乙方的智力成果或有关服务，且乙方已经履行了本合同项下的全部义务，甲方应按照3.2条款一次性支付全部合同款。</w:t>
      </w:r>
    </w:p>
    <w:p>
      <w:pPr>
        <w:overflowPunct w:val="0"/>
        <w:autoSpaceDE w:val="0"/>
        <w:autoSpaceDN w:val="0"/>
        <w:snapToGrid w:val="0"/>
        <w:spacing w:line="480" w:lineRule="exact"/>
        <w:rPr>
          <w:sz w:val="24"/>
        </w:rPr>
      </w:pPr>
      <w:r>
        <w:rPr>
          <w:rFonts w:hint="eastAsia"/>
          <w:sz w:val="24"/>
        </w:rPr>
        <w:t>4.</w:t>
      </w:r>
      <w:r>
        <w:rPr>
          <w:sz w:val="24"/>
        </w:rPr>
        <w:t xml:space="preserve">3 </w:t>
      </w:r>
      <w:r>
        <w:rPr>
          <w:rFonts w:hint="eastAsia"/>
          <w:sz w:val="24"/>
        </w:rPr>
        <w:t>除下列情况外，任何一方不得擅自解除协议：</w:t>
      </w:r>
    </w:p>
    <w:p>
      <w:pPr>
        <w:overflowPunct w:val="0"/>
        <w:autoSpaceDE w:val="0"/>
        <w:autoSpaceDN w:val="0"/>
        <w:snapToGrid w:val="0"/>
        <w:spacing w:line="480" w:lineRule="exact"/>
        <w:rPr>
          <w:sz w:val="24"/>
        </w:rPr>
      </w:pPr>
      <w:r>
        <w:rPr>
          <w:rFonts w:hint="eastAsia"/>
          <w:sz w:val="24"/>
        </w:rPr>
        <w:t>4.3.1 因不可抗力致使协议不能履行，协议解除；</w:t>
      </w:r>
    </w:p>
    <w:p>
      <w:pPr>
        <w:overflowPunct w:val="0"/>
        <w:autoSpaceDE w:val="0"/>
        <w:autoSpaceDN w:val="0"/>
        <w:snapToGrid w:val="0"/>
        <w:spacing w:line="480" w:lineRule="exact"/>
        <w:rPr>
          <w:sz w:val="24"/>
          <w:szCs w:val="24"/>
        </w:rPr>
      </w:pPr>
      <w:r>
        <w:rPr>
          <w:rFonts w:hint="eastAsia"/>
          <w:sz w:val="24"/>
        </w:rPr>
        <w:t>4.3.2 一方严重违约，导致协议不能履行，另一方有权解除协议；</w:t>
      </w:r>
      <w:r>
        <w:rPr>
          <w:rFonts w:hint="eastAsia"/>
          <w:sz w:val="24"/>
          <w:szCs w:val="24"/>
        </w:rPr>
        <w:t xml:space="preserve">乙方代理期间连续两次申请未能获得通过，甲方有权解除协议。 </w:t>
      </w:r>
    </w:p>
    <w:p>
      <w:pPr>
        <w:overflowPunct w:val="0"/>
        <w:autoSpaceDE w:val="0"/>
        <w:autoSpaceDN w:val="0"/>
        <w:snapToGrid w:val="0"/>
        <w:spacing w:line="480" w:lineRule="exact"/>
        <w:rPr>
          <w:sz w:val="24"/>
        </w:rPr>
      </w:pPr>
      <w:r>
        <w:rPr>
          <w:rFonts w:hint="eastAsia"/>
          <w:sz w:val="24"/>
        </w:rPr>
        <w:t>4.3.3 双方一致同意终止本协议。</w:t>
      </w:r>
    </w:p>
    <w:p>
      <w:pPr>
        <w:overflowPunct w:val="0"/>
        <w:autoSpaceDE w:val="0"/>
        <w:autoSpaceDN w:val="0"/>
        <w:snapToGrid w:val="0"/>
        <w:spacing w:line="480" w:lineRule="exact"/>
        <w:rPr>
          <w:sz w:val="24"/>
        </w:rPr>
      </w:pPr>
      <w:r>
        <w:rPr>
          <w:rFonts w:hint="eastAsia"/>
          <w:sz w:val="24"/>
        </w:rPr>
        <w:t>4.</w:t>
      </w:r>
      <w:r>
        <w:rPr>
          <w:sz w:val="24"/>
        </w:rPr>
        <w:t>4</w:t>
      </w:r>
      <w:r>
        <w:rPr>
          <w:rFonts w:hint="eastAsia"/>
          <w:sz w:val="24"/>
        </w:rPr>
        <w:t xml:space="preserve"> 在协议期满终止时，若双方之间仍有未履行完毕的权利和义务，双方将继续履行各自的权利和义务；</w:t>
      </w:r>
    </w:p>
    <w:p>
      <w:pPr>
        <w:pStyle w:val="2"/>
        <w:keepNext w:val="0"/>
        <w:keepLines w:val="0"/>
        <w:overflowPunct w:val="0"/>
        <w:autoSpaceDE w:val="0"/>
        <w:autoSpaceDN w:val="0"/>
        <w:snapToGrid w:val="0"/>
        <w:spacing w:before="120" w:afterLines="50" w:line="440" w:lineRule="exact"/>
        <w:rPr>
          <w:sz w:val="28"/>
          <w:szCs w:val="28"/>
        </w:rPr>
      </w:pPr>
      <w:r>
        <w:rPr>
          <w:rFonts w:hint="eastAsia"/>
          <w:sz w:val="28"/>
          <w:szCs w:val="28"/>
        </w:rPr>
        <w:t>5、违约及争议的解决</w:t>
      </w:r>
    </w:p>
    <w:p>
      <w:pPr>
        <w:overflowPunct w:val="0"/>
        <w:autoSpaceDE w:val="0"/>
        <w:autoSpaceDN w:val="0"/>
        <w:snapToGrid w:val="0"/>
        <w:spacing w:line="480" w:lineRule="exact"/>
        <w:rPr>
          <w:sz w:val="24"/>
        </w:rPr>
      </w:pPr>
      <w:r>
        <w:rPr>
          <w:rFonts w:hint="eastAsia"/>
          <w:sz w:val="24"/>
        </w:rPr>
        <w:t>5.</w:t>
      </w:r>
      <w:r>
        <w:rPr>
          <w:sz w:val="24"/>
        </w:rPr>
        <w:t>1</w:t>
      </w:r>
      <w:r>
        <w:rPr>
          <w:rFonts w:hint="eastAsia"/>
          <w:sz w:val="24"/>
        </w:rPr>
        <w:t>任何一方逾期支付有关款项，每日应按照应付未付款的万分之五承担违约责任，直至应付款实际付清时为止。</w:t>
      </w:r>
    </w:p>
    <w:p>
      <w:pPr>
        <w:overflowPunct w:val="0"/>
        <w:autoSpaceDE w:val="0"/>
        <w:autoSpaceDN w:val="0"/>
        <w:snapToGrid w:val="0"/>
        <w:spacing w:line="480" w:lineRule="exact"/>
        <w:rPr>
          <w:sz w:val="24"/>
        </w:rPr>
      </w:pPr>
      <w:r>
        <w:rPr>
          <w:rFonts w:hint="eastAsia"/>
          <w:sz w:val="24"/>
        </w:rPr>
        <w:t>5.2 乙方履行协议过程中出现故意或者过失造成甲方未能于2020年获得国家高新技术企业资质的，应当向甲方承担违约责任，已经提交申请材料的，甲方将不予支付尾款；尚未提交申请材料的，甲方将不予支付全部费用。乙方正常履行各项职责，因政策原因甲方未能如期获得资质的不在此列。</w:t>
      </w:r>
    </w:p>
    <w:p>
      <w:pPr>
        <w:overflowPunct w:val="0"/>
        <w:autoSpaceDE w:val="0"/>
        <w:autoSpaceDN w:val="0"/>
        <w:snapToGrid w:val="0"/>
        <w:spacing w:line="480" w:lineRule="exact"/>
        <w:rPr>
          <w:sz w:val="24"/>
        </w:rPr>
      </w:pPr>
      <w:r>
        <w:rPr>
          <w:rFonts w:hint="eastAsia"/>
          <w:sz w:val="24"/>
        </w:rPr>
        <w:t>5.3</w:t>
      </w:r>
      <w:r>
        <w:rPr>
          <w:sz w:val="24"/>
        </w:rPr>
        <w:t xml:space="preserve"> </w:t>
      </w:r>
      <w:r>
        <w:rPr>
          <w:rFonts w:hint="eastAsia"/>
          <w:sz w:val="24"/>
        </w:rPr>
        <w:t>双方之间如不能友好解决因本协议而产生的或与本协议有关的争议，双方均可向甲方所在地人民法院提起诉讼。</w:t>
      </w:r>
    </w:p>
    <w:p>
      <w:pPr>
        <w:overflowPunct w:val="0"/>
        <w:autoSpaceDE w:val="0"/>
        <w:autoSpaceDN w:val="0"/>
        <w:snapToGrid w:val="0"/>
        <w:spacing w:line="480" w:lineRule="exact"/>
        <w:rPr>
          <w:sz w:val="24"/>
        </w:rPr>
      </w:pPr>
      <w:r>
        <w:rPr>
          <w:rFonts w:hint="eastAsia"/>
          <w:sz w:val="24"/>
        </w:rPr>
        <w:t>5.4 若甲方当年未通过国家高新技术企业认定，则乙方承诺第二年继续为甲方申报，直至甲方取得高新技术企业证书。</w:t>
      </w:r>
    </w:p>
    <w:p>
      <w:pPr>
        <w:pStyle w:val="2"/>
        <w:keepNext w:val="0"/>
        <w:keepLines w:val="0"/>
        <w:overflowPunct w:val="0"/>
        <w:autoSpaceDE w:val="0"/>
        <w:autoSpaceDN w:val="0"/>
        <w:snapToGrid w:val="0"/>
        <w:spacing w:before="120" w:afterLines="50" w:line="440" w:lineRule="exact"/>
        <w:rPr>
          <w:sz w:val="28"/>
          <w:szCs w:val="28"/>
        </w:rPr>
      </w:pPr>
      <w:r>
        <w:rPr>
          <w:rFonts w:hint="eastAsia"/>
          <w:sz w:val="28"/>
          <w:szCs w:val="28"/>
        </w:rPr>
        <w:t>6、其他条款</w:t>
      </w:r>
    </w:p>
    <w:p>
      <w:pPr>
        <w:overflowPunct w:val="0"/>
        <w:autoSpaceDE w:val="0"/>
        <w:autoSpaceDN w:val="0"/>
        <w:snapToGrid w:val="0"/>
        <w:spacing w:line="480" w:lineRule="exact"/>
        <w:rPr>
          <w:sz w:val="24"/>
        </w:rPr>
      </w:pPr>
      <w:r>
        <w:rPr>
          <w:rFonts w:hint="eastAsia"/>
          <w:sz w:val="24"/>
        </w:rPr>
        <w:t>6.</w:t>
      </w:r>
      <w:r>
        <w:rPr>
          <w:sz w:val="24"/>
        </w:rPr>
        <w:t xml:space="preserve">1 </w:t>
      </w:r>
      <w:r>
        <w:rPr>
          <w:rFonts w:hint="eastAsia"/>
          <w:sz w:val="24"/>
        </w:rPr>
        <w:t>本协议未尽事宜，双方应另行签订补充协议加以说明。</w:t>
      </w:r>
    </w:p>
    <w:p>
      <w:pPr>
        <w:overflowPunct w:val="0"/>
        <w:autoSpaceDE w:val="0"/>
        <w:autoSpaceDN w:val="0"/>
        <w:snapToGrid w:val="0"/>
        <w:spacing w:line="480" w:lineRule="exact"/>
        <w:rPr>
          <w:sz w:val="24"/>
        </w:rPr>
      </w:pPr>
      <w:r>
        <w:rPr>
          <w:rFonts w:hint="eastAsia"/>
          <w:sz w:val="24"/>
        </w:rPr>
        <w:t>6.</w:t>
      </w:r>
      <w:r>
        <w:rPr>
          <w:sz w:val="24"/>
        </w:rPr>
        <w:t xml:space="preserve">2 </w:t>
      </w:r>
      <w:r>
        <w:rPr>
          <w:rFonts w:hint="eastAsia"/>
          <w:sz w:val="24"/>
        </w:rPr>
        <w:t>列入附件式补充协议的内容不得与本协议的基本原则冲突，否则无效。</w:t>
      </w:r>
    </w:p>
    <w:p>
      <w:pPr>
        <w:overflowPunct w:val="0"/>
        <w:autoSpaceDE w:val="0"/>
        <w:autoSpaceDN w:val="0"/>
        <w:snapToGrid w:val="0"/>
        <w:spacing w:line="480" w:lineRule="exact"/>
        <w:rPr>
          <w:sz w:val="24"/>
        </w:rPr>
      </w:pPr>
      <w:r>
        <w:rPr>
          <w:rFonts w:hint="eastAsia"/>
          <w:sz w:val="24"/>
        </w:rPr>
        <w:t>6.</w:t>
      </w:r>
      <w:r>
        <w:rPr>
          <w:sz w:val="24"/>
        </w:rPr>
        <w:t xml:space="preserve">3 </w:t>
      </w:r>
      <w:r>
        <w:rPr>
          <w:rFonts w:hint="eastAsia"/>
          <w:sz w:val="24"/>
        </w:rPr>
        <w:t>本协议的修改和解除须另作书面协议。</w:t>
      </w:r>
    </w:p>
    <w:p>
      <w:pPr>
        <w:overflowPunct w:val="0"/>
        <w:autoSpaceDE w:val="0"/>
        <w:autoSpaceDN w:val="0"/>
        <w:snapToGrid w:val="0"/>
        <w:spacing w:line="480" w:lineRule="exact"/>
        <w:rPr>
          <w:sz w:val="24"/>
        </w:rPr>
      </w:pPr>
      <w:r>
        <w:rPr>
          <w:rFonts w:hint="eastAsia"/>
          <w:sz w:val="24"/>
        </w:rPr>
        <w:t>6.</w:t>
      </w:r>
      <w:r>
        <w:rPr>
          <w:sz w:val="24"/>
        </w:rPr>
        <w:t xml:space="preserve">4 </w:t>
      </w:r>
      <w:r>
        <w:rPr>
          <w:rFonts w:hint="eastAsia"/>
          <w:sz w:val="24"/>
        </w:rPr>
        <w:t>本协议壹式贰份，双方签字盖章后，甲方与乙方各持壹份。</w:t>
      </w:r>
    </w:p>
    <w:p>
      <w:pPr>
        <w:overflowPunct w:val="0"/>
        <w:autoSpaceDE w:val="0"/>
        <w:autoSpaceDN w:val="0"/>
        <w:snapToGrid w:val="0"/>
        <w:spacing w:line="480" w:lineRule="exact"/>
        <w:rPr>
          <w:sz w:val="24"/>
        </w:rPr>
      </w:pPr>
    </w:p>
    <w:p>
      <w:pPr>
        <w:overflowPunct w:val="0"/>
        <w:autoSpaceDE w:val="0"/>
        <w:autoSpaceDN w:val="0"/>
        <w:snapToGrid w:val="0"/>
        <w:spacing w:line="480" w:lineRule="exact"/>
        <w:rPr>
          <w:sz w:val="24"/>
        </w:rPr>
      </w:pPr>
    </w:p>
    <w:p>
      <w:pPr>
        <w:overflowPunct w:val="0"/>
        <w:autoSpaceDE w:val="0"/>
        <w:autoSpaceDN w:val="0"/>
        <w:snapToGrid w:val="0"/>
        <w:spacing w:line="440" w:lineRule="exact"/>
        <w:rPr>
          <w:b/>
          <w:sz w:val="28"/>
          <w:szCs w:val="28"/>
        </w:rPr>
      </w:pPr>
      <w:r>
        <w:rPr>
          <w:rFonts w:hint="eastAsia"/>
          <w:b/>
          <w:sz w:val="28"/>
          <w:szCs w:val="28"/>
        </w:rPr>
        <w:t xml:space="preserve">   甲方：</w:t>
      </w:r>
      <w:r>
        <w:rPr>
          <w:rFonts w:hint="eastAsia"/>
          <w:b/>
          <w:sz w:val="28"/>
          <w:szCs w:val="28"/>
          <w:lang w:val="en-US" w:eastAsia="zh-CN"/>
        </w:rPr>
        <w:t>北京光华荣昌汽车部件</w:t>
      </w:r>
      <w:bookmarkStart w:id="0" w:name="_GoBack"/>
      <w:bookmarkEnd w:id="0"/>
      <w:r>
        <w:rPr>
          <w:rFonts w:hint="eastAsia"/>
          <w:b/>
          <w:sz w:val="28"/>
          <w:szCs w:val="28"/>
          <w:lang w:val="en-US" w:eastAsia="zh-CN"/>
        </w:rPr>
        <w:t xml:space="preserve">有限公司       </w:t>
      </w:r>
      <w:r>
        <w:rPr>
          <w:rFonts w:hint="eastAsia"/>
          <w:b/>
          <w:sz w:val="28"/>
          <w:szCs w:val="28"/>
        </w:rPr>
        <w:t xml:space="preserve">     （盖章）</w:t>
      </w:r>
    </w:p>
    <w:p>
      <w:pPr>
        <w:overflowPunct w:val="0"/>
        <w:autoSpaceDE w:val="0"/>
        <w:autoSpaceDN w:val="0"/>
        <w:snapToGrid w:val="0"/>
        <w:spacing w:line="440" w:lineRule="exact"/>
        <w:rPr>
          <w:b/>
          <w:sz w:val="28"/>
          <w:szCs w:val="28"/>
        </w:rPr>
      </w:pPr>
    </w:p>
    <w:p>
      <w:pPr>
        <w:overflowPunct w:val="0"/>
        <w:autoSpaceDE w:val="0"/>
        <w:autoSpaceDN w:val="0"/>
        <w:snapToGrid w:val="0"/>
        <w:spacing w:line="480" w:lineRule="exact"/>
        <w:ind w:firstLine="840" w:firstLineChars="300"/>
        <w:rPr>
          <w:rFonts w:hAnsi="宋体"/>
          <w:sz w:val="28"/>
          <w:szCs w:val="28"/>
        </w:rPr>
      </w:pPr>
      <w:r>
        <w:rPr>
          <w:rFonts w:hint="eastAsia"/>
          <w:sz w:val="28"/>
          <w:szCs w:val="28"/>
        </w:rPr>
        <w:t>法定代表人或其代表签字：</w:t>
      </w:r>
      <w:r>
        <w:rPr>
          <w:sz w:val="28"/>
          <w:szCs w:val="28"/>
        </w:rPr>
        <w:t xml:space="preserve"> </w:t>
      </w:r>
      <w:r>
        <w:rPr>
          <w:rFonts w:hint="eastAsia" w:hAnsi="宋体"/>
          <w:sz w:val="28"/>
          <w:szCs w:val="28"/>
        </w:rPr>
        <w:t xml:space="preserve">    </w:t>
      </w:r>
    </w:p>
    <w:p>
      <w:pPr>
        <w:spacing w:line="360" w:lineRule="auto"/>
        <w:ind w:firstLine="5378" w:firstLineChars="1921"/>
        <w:rPr>
          <w:rFonts w:hAnsi="宋体"/>
          <w:sz w:val="28"/>
          <w:szCs w:val="28"/>
        </w:rPr>
      </w:pPr>
      <w:r>
        <w:rPr>
          <w:rFonts w:hint="eastAsia" w:hAnsi="宋体"/>
          <w:sz w:val="28"/>
          <w:szCs w:val="28"/>
        </w:rPr>
        <w:t>年   月   日</w:t>
      </w:r>
    </w:p>
    <w:p>
      <w:pPr>
        <w:spacing w:line="360" w:lineRule="auto"/>
        <w:ind w:firstLine="5378" w:firstLineChars="1921"/>
        <w:rPr>
          <w:rFonts w:hAnsi="宋体"/>
          <w:sz w:val="28"/>
          <w:szCs w:val="28"/>
        </w:rPr>
      </w:pPr>
    </w:p>
    <w:p>
      <w:pPr>
        <w:overflowPunct w:val="0"/>
        <w:autoSpaceDE w:val="0"/>
        <w:autoSpaceDN w:val="0"/>
        <w:snapToGrid w:val="0"/>
        <w:spacing w:line="440" w:lineRule="exact"/>
        <w:ind w:firstLine="281" w:firstLineChars="100"/>
        <w:rPr>
          <w:b/>
          <w:sz w:val="28"/>
          <w:szCs w:val="28"/>
        </w:rPr>
      </w:pPr>
      <w:r>
        <w:rPr>
          <w:rFonts w:hint="eastAsia"/>
          <w:b/>
          <w:sz w:val="28"/>
          <w:szCs w:val="28"/>
        </w:rPr>
        <w:t xml:space="preserve"> 乙方：北京顺然天成咨询有限公司</w:t>
      </w:r>
      <w:r>
        <w:rPr>
          <w:rFonts w:hint="eastAsia"/>
          <w:sz w:val="28"/>
          <w:szCs w:val="28"/>
        </w:rPr>
        <w:t xml:space="preserve">        </w:t>
      </w:r>
      <w:r>
        <w:rPr>
          <w:rFonts w:hint="eastAsia"/>
          <w:b/>
          <w:sz w:val="28"/>
          <w:szCs w:val="28"/>
        </w:rPr>
        <w:t>（盖章）</w:t>
      </w:r>
    </w:p>
    <w:p>
      <w:pPr>
        <w:overflowPunct w:val="0"/>
        <w:autoSpaceDE w:val="0"/>
        <w:autoSpaceDN w:val="0"/>
        <w:snapToGrid w:val="0"/>
        <w:spacing w:line="440" w:lineRule="exact"/>
        <w:ind w:firstLine="281" w:firstLineChars="100"/>
        <w:rPr>
          <w:b/>
          <w:sz w:val="28"/>
          <w:szCs w:val="28"/>
        </w:rPr>
      </w:pPr>
    </w:p>
    <w:p>
      <w:pPr>
        <w:spacing w:line="360" w:lineRule="auto"/>
        <w:rPr>
          <w:sz w:val="28"/>
          <w:szCs w:val="28"/>
        </w:rPr>
      </w:pPr>
      <w:r>
        <w:rPr>
          <w:rFonts w:hint="eastAsia" w:ascii="宋体" w:hAnsi="宋体"/>
          <w:sz w:val="28"/>
          <w:szCs w:val="28"/>
        </w:rPr>
        <w:t xml:space="preserve">      </w:t>
      </w:r>
      <w:r>
        <w:rPr>
          <w:rFonts w:hint="eastAsia"/>
          <w:sz w:val="28"/>
          <w:szCs w:val="28"/>
        </w:rPr>
        <w:t>法定代表人或其代表签字：</w:t>
      </w:r>
      <w:r>
        <w:rPr>
          <w:sz w:val="28"/>
          <w:szCs w:val="28"/>
        </w:rPr>
        <w:t xml:space="preserve"> </w:t>
      </w:r>
    </w:p>
    <w:p>
      <w:pPr>
        <w:spacing w:line="360" w:lineRule="auto"/>
        <w:ind w:firstLine="4818" w:firstLineChars="1721"/>
        <w:rPr>
          <w:sz w:val="28"/>
          <w:szCs w:val="28"/>
        </w:rPr>
      </w:pPr>
      <w:r>
        <w:rPr>
          <w:rFonts w:hint="eastAsia" w:hAnsi="宋体"/>
          <w:sz w:val="28"/>
          <w:szCs w:val="28"/>
        </w:rPr>
        <w:t xml:space="preserve">    年   月   日</w:t>
      </w:r>
    </w:p>
    <w:sectPr>
      <w:footerReference r:id="rId5" w:type="default"/>
      <w:pgSz w:w="11906" w:h="16838"/>
      <w:pgMar w:top="1474" w:right="1474" w:bottom="709" w:left="1474" w:header="68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479"/>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3077"/>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077" o:spid="_x0000_s1026" o:spt="202" type="#_x0000_t202" style="position:absolute;left:0pt;margin-top:0pt;height:11pt;width:4.6pt;mso-position-horizontal:center;mso-position-horizontal-relative:margin;mso-wrap-style:none;z-index:251658240;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tbuXfQAAAAAgEAAA8AAAAAAAAAAQAgAAAAIgAAAGRycy9kb3ducmV2LnhtbFBLAQIUABQAAAAI&#10;AIdO4kD26ogo9QEAAMQDAAAOAAAAAAAAAAEAIAAAAB8BAABkcnMvZTJvRG9jLnhtbFBLBQYAAAAA&#10;BgAGAFkBAACG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b/>
        <w:sz w:val="21"/>
        <w:szCs w:val="21"/>
      </w:rP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1285875"/>
          <wp:effectExtent l="1677035" t="0" r="1685290" b="0"/>
          <wp:wrapNone/>
          <wp:docPr id="3" name="WordPictureWatermark29546" descr="8440555812233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9546" descr="84405558122331988"/>
                  <pic:cNvPicPr>
                    <a:picLocks noChangeAspect="1"/>
                  </pic:cNvPicPr>
                </pic:nvPicPr>
                <pic:blipFill>
                  <a:blip r:embed="rId1">
                    <a:lum bright="69998" contrast="-70001"/>
                  </a:blip>
                  <a:stretch>
                    <a:fillRect/>
                  </a:stretch>
                </pic:blipFill>
                <pic:spPr>
                  <a:xfrm rot="-2700000">
                    <a:off x="0" y="0"/>
                    <a:ext cx="5274310" cy="1285875"/>
                  </a:xfrm>
                  <a:prstGeom prst="rect">
                    <a:avLst/>
                  </a:prstGeom>
                  <a:noFill/>
                  <a:ln>
                    <a:noFill/>
                  </a:ln>
                </pic:spPr>
              </pic:pic>
            </a:graphicData>
          </a:graphic>
        </wp:anchor>
      </w:drawing>
    </w:r>
    <w:r>
      <w:rPr>
        <w:rFonts w:hint="eastAsia"/>
      </w:rPr>
      <w:t xml:space="preserve"> </w:t>
    </w:r>
    <w:r>
      <w:rPr>
        <w:rFonts w:hint="eastAsia"/>
      </w:rPr>
      <w:drawing>
        <wp:inline distT="0" distB="0" distL="0" distR="0">
          <wp:extent cx="1190625" cy="295275"/>
          <wp:effectExtent l="0" t="0" r="0" b="0"/>
          <wp:docPr id="1" name="图片 3"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srtc-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190625" cy="295275"/>
                  </a:xfrm>
                  <a:prstGeom prst="rect">
                    <a:avLst/>
                  </a:prstGeom>
                  <a:noFill/>
                  <a:ln>
                    <a:noFill/>
                  </a:ln>
                </pic:spPr>
              </pic:pic>
            </a:graphicData>
          </a:graphic>
        </wp:inline>
      </w:drawing>
    </w:r>
    <w:r>
      <w:rPr>
        <w:rFonts w:hint="eastAsia"/>
      </w:rPr>
      <w:t xml:space="preserve">                                             </w:t>
    </w:r>
    <w:r>
      <w:rPr>
        <w:rFonts w:hint="eastAsia"/>
        <w:b/>
        <w:sz w:val="21"/>
        <w:szCs w:val="21"/>
      </w:rPr>
      <w:t>北京顺然天成咨询有限公司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93A"/>
    <w:rsid w:val="00024DEB"/>
    <w:rsid w:val="00033A6F"/>
    <w:rsid w:val="000A371F"/>
    <w:rsid w:val="000F2A00"/>
    <w:rsid w:val="00102D8A"/>
    <w:rsid w:val="00104D5E"/>
    <w:rsid w:val="00126157"/>
    <w:rsid w:val="00140D6B"/>
    <w:rsid w:val="00140F34"/>
    <w:rsid w:val="00140F64"/>
    <w:rsid w:val="001726DC"/>
    <w:rsid w:val="00184513"/>
    <w:rsid w:val="001B681D"/>
    <w:rsid w:val="001C24BA"/>
    <w:rsid w:val="001C366A"/>
    <w:rsid w:val="001C7E9E"/>
    <w:rsid w:val="001E5B25"/>
    <w:rsid w:val="00231737"/>
    <w:rsid w:val="00232D47"/>
    <w:rsid w:val="00233F01"/>
    <w:rsid w:val="002D08CD"/>
    <w:rsid w:val="002D428E"/>
    <w:rsid w:val="002F1D56"/>
    <w:rsid w:val="00300EA2"/>
    <w:rsid w:val="003072F3"/>
    <w:rsid w:val="003147BA"/>
    <w:rsid w:val="00320D98"/>
    <w:rsid w:val="0032475E"/>
    <w:rsid w:val="00325076"/>
    <w:rsid w:val="00373366"/>
    <w:rsid w:val="003831E5"/>
    <w:rsid w:val="003B55CF"/>
    <w:rsid w:val="003C7AB6"/>
    <w:rsid w:val="003F4F5D"/>
    <w:rsid w:val="00407D41"/>
    <w:rsid w:val="00444589"/>
    <w:rsid w:val="00457554"/>
    <w:rsid w:val="004F3302"/>
    <w:rsid w:val="004F74F7"/>
    <w:rsid w:val="00534127"/>
    <w:rsid w:val="00555D0D"/>
    <w:rsid w:val="005D096D"/>
    <w:rsid w:val="006130DA"/>
    <w:rsid w:val="0062230D"/>
    <w:rsid w:val="00625FA6"/>
    <w:rsid w:val="00691B09"/>
    <w:rsid w:val="0069764B"/>
    <w:rsid w:val="006B1E59"/>
    <w:rsid w:val="006B446A"/>
    <w:rsid w:val="006E2956"/>
    <w:rsid w:val="00737B56"/>
    <w:rsid w:val="00747EFC"/>
    <w:rsid w:val="007641B3"/>
    <w:rsid w:val="00783480"/>
    <w:rsid w:val="007C219D"/>
    <w:rsid w:val="007F0153"/>
    <w:rsid w:val="00804166"/>
    <w:rsid w:val="0080555F"/>
    <w:rsid w:val="00831DBB"/>
    <w:rsid w:val="00844CC7"/>
    <w:rsid w:val="00852B95"/>
    <w:rsid w:val="00860DE7"/>
    <w:rsid w:val="0086484B"/>
    <w:rsid w:val="008A7E44"/>
    <w:rsid w:val="008C1ABD"/>
    <w:rsid w:val="008F3EF4"/>
    <w:rsid w:val="00933A1B"/>
    <w:rsid w:val="00970180"/>
    <w:rsid w:val="0099326D"/>
    <w:rsid w:val="009A0A25"/>
    <w:rsid w:val="009E229D"/>
    <w:rsid w:val="00A157C0"/>
    <w:rsid w:val="00A4393A"/>
    <w:rsid w:val="00A509EC"/>
    <w:rsid w:val="00A52C78"/>
    <w:rsid w:val="00A62987"/>
    <w:rsid w:val="00A6683C"/>
    <w:rsid w:val="00AC5D00"/>
    <w:rsid w:val="00B1524B"/>
    <w:rsid w:val="00BA18EE"/>
    <w:rsid w:val="00BC00ED"/>
    <w:rsid w:val="00BD124A"/>
    <w:rsid w:val="00BF45D5"/>
    <w:rsid w:val="00C01CDF"/>
    <w:rsid w:val="00C30742"/>
    <w:rsid w:val="00C476CE"/>
    <w:rsid w:val="00C50EB2"/>
    <w:rsid w:val="00C757BF"/>
    <w:rsid w:val="00C81778"/>
    <w:rsid w:val="00C9113D"/>
    <w:rsid w:val="00CB4EE9"/>
    <w:rsid w:val="00CC2FFB"/>
    <w:rsid w:val="00CC618A"/>
    <w:rsid w:val="00CE0AE0"/>
    <w:rsid w:val="00CF0EED"/>
    <w:rsid w:val="00CF3A89"/>
    <w:rsid w:val="00D5011D"/>
    <w:rsid w:val="00D508AB"/>
    <w:rsid w:val="00D50EEC"/>
    <w:rsid w:val="00D80EC8"/>
    <w:rsid w:val="00D818C7"/>
    <w:rsid w:val="00DB5838"/>
    <w:rsid w:val="00DD24FC"/>
    <w:rsid w:val="00E05FF4"/>
    <w:rsid w:val="00E20967"/>
    <w:rsid w:val="00E43AE2"/>
    <w:rsid w:val="00E44E8C"/>
    <w:rsid w:val="00E53877"/>
    <w:rsid w:val="00E71DE8"/>
    <w:rsid w:val="00E9629F"/>
    <w:rsid w:val="00EA5387"/>
    <w:rsid w:val="00EA7943"/>
    <w:rsid w:val="00EC0FB9"/>
    <w:rsid w:val="00F30F0D"/>
    <w:rsid w:val="00F3423D"/>
    <w:rsid w:val="00F4783C"/>
    <w:rsid w:val="00F53F86"/>
    <w:rsid w:val="00F74401"/>
    <w:rsid w:val="00F9306A"/>
    <w:rsid w:val="00FB5548"/>
    <w:rsid w:val="00FC10F7"/>
    <w:rsid w:val="00FE29F0"/>
    <w:rsid w:val="00FF47F7"/>
    <w:rsid w:val="01547B84"/>
    <w:rsid w:val="016212DF"/>
    <w:rsid w:val="01A95045"/>
    <w:rsid w:val="03881F5A"/>
    <w:rsid w:val="038B3DDC"/>
    <w:rsid w:val="059C4350"/>
    <w:rsid w:val="060F6792"/>
    <w:rsid w:val="0782145E"/>
    <w:rsid w:val="083C2583"/>
    <w:rsid w:val="096D7D04"/>
    <w:rsid w:val="0B000247"/>
    <w:rsid w:val="0B7A0473"/>
    <w:rsid w:val="0C4D2824"/>
    <w:rsid w:val="0C6B58E9"/>
    <w:rsid w:val="0C887550"/>
    <w:rsid w:val="0CC037B1"/>
    <w:rsid w:val="0D0904F0"/>
    <w:rsid w:val="0DC23B85"/>
    <w:rsid w:val="0E7E0060"/>
    <w:rsid w:val="103E3BBA"/>
    <w:rsid w:val="11366D6F"/>
    <w:rsid w:val="11F46469"/>
    <w:rsid w:val="12504E2D"/>
    <w:rsid w:val="125D38B0"/>
    <w:rsid w:val="131B1B57"/>
    <w:rsid w:val="139425E9"/>
    <w:rsid w:val="13A9062D"/>
    <w:rsid w:val="13F0599E"/>
    <w:rsid w:val="141B4077"/>
    <w:rsid w:val="1568217F"/>
    <w:rsid w:val="157C193B"/>
    <w:rsid w:val="16CA7775"/>
    <w:rsid w:val="17075A42"/>
    <w:rsid w:val="17E751FA"/>
    <w:rsid w:val="18806984"/>
    <w:rsid w:val="18AA4EF3"/>
    <w:rsid w:val="18F67E84"/>
    <w:rsid w:val="1B8C5D3F"/>
    <w:rsid w:val="1BF751B2"/>
    <w:rsid w:val="1BFE4A22"/>
    <w:rsid w:val="1C0F14AB"/>
    <w:rsid w:val="1D1B58CF"/>
    <w:rsid w:val="1EF61804"/>
    <w:rsid w:val="1FE40F2B"/>
    <w:rsid w:val="20327B4D"/>
    <w:rsid w:val="203E1472"/>
    <w:rsid w:val="20A432B5"/>
    <w:rsid w:val="225059DA"/>
    <w:rsid w:val="22560621"/>
    <w:rsid w:val="22B04525"/>
    <w:rsid w:val="22D72D6D"/>
    <w:rsid w:val="25347E6E"/>
    <w:rsid w:val="262D343D"/>
    <w:rsid w:val="26597157"/>
    <w:rsid w:val="27B11261"/>
    <w:rsid w:val="2AED7FA5"/>
    <w:rsid w:val="2D5830F7"/>
    <w:rsid w:val="2EE670ED"/>
    <w:rsid w:val="2FA72EF0"/>
    <w:rsid w:val="304B2DC7"/>
    <w:rsid w:val="312B0C47"/>
    <w:rsid w:val="31565F86"/>
    <w:rsid w:val="31A01894"/>
    <w:rsid w:val="31C33D33"/>
    <w:rsid w:val="323A789A"/>
    <w:rsid w:val="325532A1"/>
    <w:rsid w:val="32B85544"/>
    <w:rsid w:val="32FB1D2B"/>
    <w:rsid w:val="343E749B"/>
    <w:rsid w:val="35FA0F2A"/>
    <w:rsid w:val="36A77D38"/>
    <w:rsid w:val="375F22FB"/>
    <w:rsid w:val="3AA75643"/>
    <w:rsid w:val="3BBD5812"/>
    <w:rsid w:val="3BC10995"/>
    <w:rsid w:val="3BCC4B5D"/>
    <w:rsid w:val="3C4B08F9"/>
    <w:rsid w:val="3C604983"/>
    <w:rsid w:val="3CF3243B"/>
    <w:rsid w:val="3D6B67D2"/>
    <w:rsid w:val="3DC94D94"/>
    <w:rsid w:val="3DED6783"/>
    <w:rsid w:val="3F354E3B"/>
    <w:rsid w:val="3FAA1C9A"/>
    <w:rsid w:val="42F84EBB"/>
    <w:rsid w:val="43507074"/>
    <w:rsid w:val="43E5437A"/>
    <w:rsid w:val="448A16D9"/>
    <w:rsid w:val="45373E40"/>
    <w:rsid w:val="45447333"/>
    <w:rsid w:val="45B911F4"/>
    <w:rsid w:val="45BD57EF"/>
    <w:rsid w:val="470A0755"/>
    <w:rsid w:val="48E243DC"/>
    <w:rsid w:val="49354E80"/>
    <w:rsid w:val="49450567"/>
    <w:rsid w:val="49530C1A"/>
    <w:rsid w:val="4B9E400A"/>
    <w:rsid w:val="4D552D6B"/>
    <w:rsid w:val="4D603FA8"/>
    <w:rsid w:val="4D77315F"/>
    <w:rsid w:val="4D853792"/>
    <w:rsid w:val="4D8B1F20"/>
    <w:rsid w:val="4E740976"/>
    <w:rsid w:val="4ED509DB"/>
    <w:rsid w:val="501D4786"/>
    <w:rsid w:val="507D45CF"/>
    <w:rsid w:val="520A5D12"/>
    <w:rsid w:val="53353CBE"/>
    <w:rsid w:val="544F2122"/>
    <w:rsid w:val="56EA3D89"/>
    <w:rsid w:val="582E4FCB"/>
    <w:rsid w:val="58990146"/>
    <w:rsid w:val="5D1B03AE"/>
    <w:rsid w:val="5D9927AA"/>
    <w:rsid w:val="5DC969D9"/>
    <w:rsid w:val="5E272242"/>
    <w:rsid w:val="5FB118A9"/>
    <w:rsid w:val="5FE97DC3"/>
    <w:rsid w:val="60094B74"/>
    <w:rsid w:val="609D4C9C"/>
    <w:rsid w:val="60D34866"/>
    <w:rsid w:val="60ED0C93"/>
    <w:rsid w:val="61F72C3D"/>
    <w:rsid w:val="620A2365"/>
    <w:rsid w:val="627E3690"/>
    <w:rsid w:val="62C34857"/>
    <w:rsid w:val="63931B67"/>
    <w:rsid w:val="64212E9B"/>
    <w:rsid w:val="648C39B1"/>
    <w:rsid w:val="65AF6965"/>
    <w:rsid w:val="67762399"/>
    <w:rsid w:val="695F04B1"/>
    <w:rsid w:val="69D73202"/>
    <w:rsid w:val="6B1542A9"/>
    <w:rsid w:val="6C32624F"/>
    <w:rsid w:val="6C4A2AAD"/>
    <w:rsid w:val="6DA97E8F"/>
    <w:rsid w:val="6DDC3EEF"/>
    <w:rsid w:val="6EC43075"/>
    <w:rsid w:val="6F5270A2"/>
    <w:rsid w:val="6F952683"/>
    <w:rsid w:val="6FCA7E8E"/>
    <w:rsid w:val="706E3291"/>
    <w:rsid w:val="715449D6"/>
    <w:rsid w:val="72566BA1"/>
    <w:rsid w:val="72AA450A"/>
    <w:rsid w:val="72CA702F"/>
    <w:rsid w:val="73797FDF"/>
    <w:rsid w:val="73C05A5B"/>
    <w:rsid w:val="741F739F"/>
    <w:rsid w:val="743F6E98"/>
    <w:rsid w:val="749D4BEA"/>
    <w:rsid w:val="74EA7D6D"/>
    <w:rsid w:val="75442D5B"/>
    <w:rsid w:val="755F3AB7"/>
    <w:rsid w:val="759B4F29"/>
    <w:rsid w:val="781512B7"/>
    <w:rsid w:val="78B979E4"/>
    <w:rsid w:val="79466E4E"/>
    <w:rsid w:val="7B120997"/>
    <w:rsid w:val="7B39442E"/>
    <w:rsid w:val="7CD3391C"/>
    <w:rsid w:val="7D100209"/>
    <w:rsid w:val="7D7B7976"/>
    <w:rsid w:val="7D837B88"/>
    <w:rsid w:val="7DA373C6"/>
    <w:rsid w:val="7E040C19"/>
    <w:rsid w:val="7EA3555F"/>
    <w:rsid w:val="7EA50D48"/>
    <w:rsid w:val="7EE91B44"/>
    <w:rsid w:val="7FDD08E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3"/>
    <w:basedOn w:val="1"/>
    <w:next w:val="1"/>
    <w:link w:val="14"/>
    <w:qFormat/>
    <w:uiPriority w:val="0"/>
    <w:pPr>
      <w:keepNext/>
      <w:keepLines/>
      <w:spacing w:before="260" w:after="260" w:line="413" w:lineRule="auto"/>
      <w:outlineLvl w:val="2"/>
    </w:pPr>
    <w:rPr>
      <w:b/>
      <w:sz w:val="32"/>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5"/>
    <w:qFormat/>
    <w:uiPriority w:val="0"/>
    <w:rPr>
      <w:b/>
      <w:bCs/>
    </w:rPr>
  </w:style>
  <w:style w:type="paragraph" w:styleId="4">
    <w:name w:val="annotation text"/>
    <w:basedOn w:val="1"/>
    <w:link w:val="16"/>
    <w:qFormat/>
    <w:uiPriority w:val="0"/>
    <w:pPr>
      <w:jc w:val="left"/>
    </w:pPr>
  </w:style>
  <w:style w:type="paragraph" w:styleId="5">
    <w:name w:val="Balloon Text"/>
    <w:basedOn w:val="1"/>
    <w:link w:val="13"/>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qFormat/>
    <w:uiPriority w:val="0"/>
    <w:rPr>
      <w:color w:val="0000FF"/>
      <w:u w:val="single"/>
    </w:rPr>
  </w:style>
  <w:style w:type="character" w:styleId="10">
    <w:name w:val="annotation reference"/>
    <w:qFormat/>
    <w:uiPriority w:val="0"/>
    <w:rPr>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批注框文本 Char"/>
    <w:link w:val="5"/>
    <w:qFormat/>
    <w:uiPriority w:val="0"/>
    <w:rPr>
      <w:kern w:val="2"/>
      <w:sz w:val="18"/>
      <w:szCs w:val="18"/>
    </w:rPr>
  </w:style>
  <w:style w:type="character" w:customStyle="1" w:styleId="14">
    <w:name w:val="标题 3 Char"/>
    <w:link w:val="2"/>
    <w:qFormat/>
    <w:uiPriority w:val="0"/>
    <w:rPr>
      <w:rFonts w:eastAsia="宋体"/>
      <w:b/>
      <w:kern w:val="2"/>
      <w:sz w:val="32"/>
      <w:lang w:val="en-US" w:eastAsia="zh-CN" w:bidi="ar-SA"/>
    </w:rPr>
  </w:style>
  <w:style w:type="character" w:customStyle="1" w:styleId="15">
    <w:name w:val="批注主题 Char"/>
    <w:link w:val="3"/>
    <w:qFormat/>
    <w:uiPriority w:val="0"/>
    <w:rPr>
      <w:b/>
      <w:bCs/>
      <w:kern w:val="2"/>
      <w:sz w:val="21"/>
    </w:rPr>
  </w:style>
  <w:style w:type="character" w:customStyle="1" w:styleId="16">
    <w:name w:val="批注文字 Char"/>
    <w:link w:val="4"/>
    <w:qFormat/>
    <w:uiPriority w:val="0"/>
    <w:rPr>
      <w:kern w:val="2"/>
      <w:sz w:val="21"/>
    </w:rPr>
  </w:style>
  <w:style w:type="character" w:customStyle="1" w:styleId="17">
    <w:name w:val="页脚 Char"/>
    <w:link w:val="6"/>
    <w:qFormat/>
    <w:uiPriority w:val="0"/>
    <w:rPr>
      <w:kern w:val="2"/>
      <w:sz w:val="18"/>
      <w:szCs w:val="18"/>
    </w:rPr>
  </w:style>
  <w:style w:type="character" w:customStyle="1" w:styleId="18">
    <w:name w:val="页眉 Char"/>
    <w:link w:val="7"/>
    <w:qFormat/>
    <w:uiPriority w:val="0"/>
    <w:rPr>
      <w:rFonts w:eastAsia="宋体"/>
      <w:kern w:val="2"/>
      <w:sz w:val="18"/>
      <w:szCs w:val="18"/>
      <w:lang w:val="en-US" w:eastAsia="zh-CN" w:bidi="ar-SA"/>
    </w:rPr>
  </w:style>
  <w:style w:type="character" w:customStyle="1" w:styleId="19">
    <w:name w:val="不明显强调1"/>
    <w:qFormat/>
    <w:uiPriority w:val="19"/>
    <w:rPr>
      <w:i/>
      <w:iCs/>
      <w:color w:val="404040"/>
    </w:rPr>
  </w:style>
  <w:style w:type="character" w:customStyle="1" w:styleId="20">
    <w:name w:val="明显强调1"/>
    <w:qFormat/>
    <w:uiPriority w:val="21"/>
    <w:rPr>
      <w:i/>
      <w:iCs/>
      <w:color w:val="5B9BD5"/>
    </w:rPr>
  </w:style>
  <w:style w:type="character" w:customStyle="1" w:styleId="21">
    <w:name w:val="不明显参考1"/>
    <w:qFormat/>
    <w:uiPriority w:val="31"/>
    <w:rPr>
      <w:smallCaps/>
      <w:color w:val="5A5A5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5</Pages>
  <Words>445</Words>
  <Characters>2538</Characters>
  <Lines>21</Lines>
  <Paragraphs>5</Paragraphs>
  <ScaleCrop>false</ScaleCrop>
  <LinksUpToDate>false</LinksUpToDate>
  <CharactersWithSpaces>2978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2019-05-14T08:22:00Z</dcterms:created>
  <dc:creator>MC SYSTEM</dc:creator>
  <cp:lastModifiedBy>Lili</cp:lastModifiedBy>
  <cp:lastPrinted>2019-08-23T03:11:00Z</cp:lastPrinted>
  <dcterms:modified xsi:type="dcterms:W3CDTF">2020-03-26T01:43:15Z</dcterms:modified>
  <dc:title>合同编号：SRTC-FS14</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