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48"/>
          <w:szCs w:val="48"/>
        </w:rPr>
      </w:pPr>
      <w:r>
        <w:rPr>
          <w:rFonts w:hint="eastAsia"/>
          <w:b/>
          <w:sz w:val="48"/>
          <w:szCs w:val="48"/>
        </w:rPr>
        <w:t>采购合同</w:t>
      </w:r>
    </w:p>
    <w:p>
      <w:pPr>
        <w:tabs>
          <w:tab w:val="left" w:pos="420"/>
          <w:tab w:val="left" w:pos="840"/>
          <w:tab w:val="left" w:pos="1260"/>
          <w:tab w:val="left" w:pos="1680"/>
          <w:tab w:val="left" w:pos="2100"/>
          <w:tab w:val="left" w:pos="2520"/>
          <w:tab w:val="left" w:pos="2940"/>
          <w:tab w:val="left" w:pos="3360"/>
          <w:tab w:val="left" w:pos="3780"/>
          <w:tab w:val="left" w:pos="5655"/>
        </w:tabs>
        <w:rPr>
          <w:b/>
        </w:rPr>
      </w:pPr>
      <w:r>
        <w:rPr>
          <w:rFonts w:hint="eastAsia"/>
          <w:b/>
        </w:rPr>
        <w:t>需方：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rPr>
        <w:t xml:space="preserve">           </w:t>
      </w:r>
      <w:r>
        <w:rPr>
          <w:rFonts w:hint="eastAsia"/>
          <w:b/>
        </w:rPr>
        <w:t>合同编号：</w:t>
      </w:r>
    </w:p>
    <w:p>
      <w:pPr>
        <w:tabs>
          <w:tab w:val="left" w:pos="420"/>
          <w:tab w:val="left" w:pos="5955"/>
        </w:tabs>
      </w:pPr>
      <w:r>
        <w:rPr>
          <w:rFonts w:hint="eastAsia"/>
          <w:b/>
        </w:rPr>
        <w:t>供方：</w:t>
      </w:r>
      <w:r>
        <w:rPr>
          <w:rStyle w:val="10"/>
          <w:rFonts w:hint="eastAsia" w:ascii="Calibri" w:hAnsi="Calibri" w:eastAsia="宋体" w:cs="Times New Roman"/>
          <w:szCs w:val="21"/>
          <w:u w:val="single"/>
          <w:shd w:val="clear" w:color="auto" w:fill="FFFFFF"/>
        </w:rPr>
        <w:t>安路普（北京）汽车技术有限公司</w:t>
      </w:r>
      <w:r>
        <w:rPr>
          <w:rStyle w:val="10"/>
          <w:rFonts w:hint="eastAsia" w:ascii="Calibri" w:hAnsi="Calibri" w:eastAsia="宋体" w:cs="Times New Roman"/>
          <w:szCs w:val="21"/>
          <w:u w:val="single"/>
          <w:shd w:val="clear" w:color="auto" w:fill="FFFFFF"/>
          <w:lang w:eastAsia="zh-CN"/>
        </w:rPr>
        <w:t>黄骅分公司</w:t>
      </w:r>
      <w:r>
        <w:rPr>
          <w:rFonts w:hint="eastAsia"/>
          <w:u w:val="single"/>
        </w:rPr>
        <w:t xml:space="preserve"> </w:t>
      </w:r>
      <w:r>
        <w:rPr>
          <w:rFonts w:hint="eastAsia"/>
        </w:rPr>
        <w:t xml:space="preserve">   </w:t>
      </w:r>
      <w:r>
        <w:rPr>
          <w:rFonts w:hint="eastAsia"/>
          <w:b/>
        </w:rPr>
        <w:t>签订地点：</w:t>
      </w:r>
      <w:r>
        <w:rPr>
          <w:rFonts w:hint="eastAsia"/>
          <w:b/>
          <w:u w:val="single"/>
        </w:rPr>
        <w:t xml:space="preserve"> </w:t>
      </w:r>
      <w:r>
        <w:rPr>
          <w:rFonts w:hint="eastAsia"/>
          <w:u w:val="single"/>
        </w:rPr>
        <w:t xml:space="preserve">北京 </w:t>
      </w:r>
      <w:r>
        <w:rPr>
          <w:rFonts w:hint="eastAsia"/>
        </w:rPr>
        <w:t xml:space="preserve"> </w:t>
      </w:r>
    </w:p>
    <w:p>
      <w:pPr>
        <w:tabs>
          <w:tab w:val="left" w:pos="420"/>
          <w:tab w:val="left" w:pos="840"/>
          <w:tab w:val="left" w:pos="1260"/>
          <w:tab w:val="left" w:pos="1680"/>
          <w:tab w:val="left" w:pos="2100"/>
          <w:tab w:val="left" w:pos="5430"/>
          <w:tab w:val="left" w:pos="5565"/>
        </w:tabs>
        <w:ind w:firstLine="5271" w:firstLineChars="2500"/>
        <w:rPr>
          <w:u w:val="single"/>
        </w:rPr>
      </w:pPr>
      <w:r>
        <w:rPr>
          <w:rFonts w:hint="eastAsia"/>
          <w:b/>
        </w:rPr>
        <w:t>签订时间：</w:t>
      </w:r>
      <w:r>
        <w:rPr>
          <w:rFonts w:hint="eastAsia"/>
          <w:u w:val="single"/>
        </w:rPr>
        <w:t>2020年06月</w:t>
      </w:r>
      <w:r>
        <w:rPr>
          <w:rFonts w:hint="eastAsia"/>
          <w:u w:val="single"/>
          <w:lang w:val="en-US" w:eastAsia="zh-CN"/>
        </w:rPr>
        <w:t xml:space="preserve"> </w:t>
      </w:r>
      <w:r>
        <w:rPr>
          <w:rFonts w:hint="eastAsia"/>
          <w:u w:val="single"/>
        </w:rPr>
        <w:t xml:space="preserve"> 日</w:t>
      </w:r>
    </w:p>
    <w:p>
      <w:pPr>
        <w:tabs>
          <w:tab w:val="left" w:pos="420"/>
          <w:tab w:val="left" w:pos="840"/>
          <w:tab w:val="left" w:pos="1260"/>
          <w:tab w:val="left" w:pos="1680"/>
          <w:tab w:val="left" w:pos="2100"/>
          <w:tab w:val="left" w:pos="2520"/>
          <w:tab w:val="left" w:pos="2940"/>
          <w:tab w:val="left" w:pos="3360"/>
          <w:tab w:val="left" w:pos="3780"/>
          <w:tab w:val="left" w:pos="4200"/>
          <w:tab w:val="left" w:pos="5220"/>
          <w:tab w:val="left" w:pos="5475"/>
        </w:tabs>
        <w:rPr>
          <w:b/>
        </w:rPr>
      </w:pPr>
      <w:r>
        <w:rPr>
          <w:rFonts w:hint="eastAsia"/>
          <w:b/>
        </w:rPr>
        <w:t>产品名称、型号规格、生产厂家、单位、数量、单价、金额及交付时间</w:t>
      </w:r>
    </w:p>
    <w:tbl>
      <w:tblPr>
        <w:tblStyle w:val="4"/>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1568"/>
        <w:gridCol w:w="1240"/>
        <w:gridCol w:w="1028"/>
        <w:gridCol w:w="992"/>
        <w:gridCol w:w="1276"/>
        <w:gridCol w:w="1134"/>
        <w:gridCol w:w="10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398" w:hRule="atLeast"/>
          <w:tblHeader/>
          <w:jc w:val="center"/>
        </w:trPr>
        <w:tc>
          <w:tcPr>
            <w:tcW w:w="1568"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物料编码</w:t>
            </w:r>
          </w:p>
        </w:tc>
        <w:tc>
          <w:tcPr>
            <w:tcW w:w="1240"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产品名称</w:t>
            </w:r>
          </w:p>
        </w:tc>
        <w:tc>
          <w:tcPr>
            <w:tcW w:w="1028"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单位</w:t>
            </w:r>
          </w:p>
        </w:tc>
        <w:tc>
          <w:tcPr>
            <w:tcW w:w="992"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数量</w:t>
            </w:r>
          </w:p>
        </w:tc>
        <w:tc>
          <w:tcPr>
            <w:tcW w:w="1276"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单价(不含税)</w:t>
            </w:r>
          </w:p>
        </w:tc>
        <w:tc>
          <w:tcPr>
            <w:tcW w:w="1134" w:type="dxa"/>
            <w:tcBorders>
              <w:top w:val="outset" w:color="111111" w:sz="6" w:space="0"/>
              <w:left w:val="outset" w:color="111111" w:sz="6" w:space="0"/>
              <w:bottom w:val="outset" w:color="111111" w:sz="6" w:space="0"/>
              <w:right w:val="single" w:color="auto" w:sz="4" w:space="0"/>
            </w:tcBorders>
            <w:vAlign w:val="center"/>
          </w:tcPr>
          <w:p>
            <w:pPr>
              <w:jc w:val="center"/>
              <w:rPr>
                <w:rFonts w:ascii="Tahoma" w:hAnsi="Tahoma" w:cs="Tahoma"/>
                <w:szCs w:val="21"/>
              </w:rPr>
            </w:pPr>
            <w:r>
              <w:rPr>
                <w:rFonts w:hint="eastAsia" w:ascii="Tahoma" w:hAnsi="Tahoma" w:cs="Tahoma"/>
                <w:szCs w:val="21"/>
              </w:rPr>
              <w:t>金额</w:t>
            </w:r>
          </w:p>
        </w:tc>
        <w:tc>
          <w:tcPr>
            <w:tcW w:w="1084" w:type="dxa"/>
            <w:tcBorders>
              <w:top w:val="outset" w:color="111111" w:sz="6" w:space="0"/>
              <w:left w:val="single" w:color="auto" w:sz="4"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交付时间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705" w:hRule="atLeast"/>
          <w:tblHeader/>
          <w:jc w:val="center"/>
        </w:trPr>
        <w:tc>
          <w:tcPr>
            <w:tcW w:w="1568" w:type="dxa"/>
            <w:tcBorders>
              <w:top w:val="outset" w:color="111111" w:sz="6" w:space="0"/>
              <w:left w:val="outset" w:color="111111" w:sz="6" w:space="0"/>
              <w:bottom w:val="outset" w:color="111111" w:sz="6" w:space="0"/>
              <w:right w:val="outset" w:color="111111" w:sz="6" w:space="0"/>
            </w:tcBorders>
            <w:vAlign w:val="center"/>
          </w:tcPr>
          <w:p>
            <w:pPr>
              <w:rPr>
                <w:sz w:val="18"/>
                <w:szCs w:val="18"/>
              </w:rPr>
            </w:pPr>
            <w:r>
              <w:rPr>
                <w:sz w:val="18"/>
                <w:szCs w:val="18"/>
              </w:rPr>
              <w:t>TK3412801000</w:t>
            </w:r>
          </w:p>
        </w:tc>
        <w:tc>
          <w:tcPr>
            <w:tcW w:w="1240"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司机室座椅</w:t>
            </w:r>
          </w:p>
        </w:tc>
        <w:tc>
          <w:tcPr>
            <w:tcW w:w="1028" w:type="dxa"/>
            <w:tcBorders>
              <w:top w:val="outset" w:color="111111" w:sz="6" w:space="0"/>
              <w:left w:val="outset" w:color="111111" w:sz="6" w:space="0"/>
              <w:bottom w:val="outset" w:color="111111" w:sz="6" w:space="0"/>
              <w:right w:val="outset" w:color="111111" w:sz="6" w:space="0"/>
            </w:tcBorders>
            <w:vAlign w:val="center"/>
          </w:tcPr>
          <w:p>
            <w:pPr>
              <w:rPr>
                <w:sz w:val="18"/>
                <w:szCs w:val="18"/>
              </w:rPr>
            </w:pPr>
            <w:r>
              <w:rPr>
                <w:rFonts w:hint="eastAsia"/>
                <w:sz w:val="18"/>
                <w:szCs w:val="18"/>
              </w:rPr>
              <w:t>个</w:t>
            </w:r>
          </w:p>
        </w:tc>
        <w:tc>
          <w:tcPr>
            <w:tcW w:w="992"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6</w:t>
            </w:r>
          </w:p>
        </w:tc>
        <w:tc>
          <w:tcPr>
            <w:tcW w:w="1276"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2946.90</w:t>
            </w:r>
          </w:p>
        </w:tc>
        <w:tc>
          <w:tcPr>
            <w:tcW w:w="1134" w:type="dxa"/>
            <w:tcBorders>
              <w:top w:val="outset" w:color="111111" w:sz="6" w:space="0"/>
              <w:left w:val="outset" w:color="111111" w:sz="6" w:space="0"/>
              <w:right w:val="single" w:color="auto" w:sz="4" w:space="0"/>
            </w:tcBorders>
            <w:vAlign w:val="center"/>
          </w:tcPr>
          <w:p>
            <w:pPr>
              <w:jc w:val="center"/>
              <w:rPr>
                <w:sz w:val="18"/>
                <w:szCs w:val="18"/>
              </w:rPr>
            </w:pPr>
            <w:r>
              <w:rPr>
                <w:rFonts w:hint="eastAsia"/>
                <w:sz w:val="18"/>
                <w:szCs w:val="18"/>
              </w:rPr>
              <w:t>17681.4</w:t>
            </w:r>
          </w:p>
        </w:tc>
        <w:tc>
          <w:tcPr>
            <w:tcW w:w="1084" w:type="dxa"/>
            <w:tcBorders>
              <w:top w:val="outset" w:color="111111" w:sz="6" w:space="0"/>
              <w:left w:val="single" w:color="auto" w:sz="4" w:space="0"/>
              <w:right w:val="outset" w:color="111111" w:sz="6" w:space="0"/>
            </w:tcBorders>
            <w:vAlign w:val="center"/>
          </w:tcPr>
          <w:p>
            <w:pPr>
              <w:jc w:val="center"/>
              <w:rPr>
                <w:sz w:val="18"/>
                <w:szCs w:val="18"/>
              </w:rPr>
            </w:pPr>
            <w:r>
              <w:rPr>
                <w:rFonts w:hint="eastAsia"/>
                <w:sz w:val="18"/>
                <w:szCs w:val="18"/>
              </w:rPr>
              <w:t>依据需方客户书面通知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税率</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13%</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合计人民币不含税金额（大写）</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w:t>
            </w:r>
            <w:r>
              <w:rPr>
                <w:rFonts w:hint="eastAsia"/>
                <w:sz w:val="18"/>
                <w:szCs w:val="18"/>
              </w:rPr>
              <w:t>17681.4</w:t>
            </w:r>
            <w:r>
              <w:rPr>
                <w:rFonts w:hint="eastAsia" w:ascii="Tahoma" w:hAnsi="Tahoma" w:cs="Tahoma"/>
                <w:szCs w:val="21"/>
              </w:rPr>
              <w:t>元（壹万柒仟陆佰捌拾壹元肆角）</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合计人民币含税金额（大写）</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w:t>
            </w:r>
            <w:r>
              <w:rPr>
                <w:rFonts w:hint="eastAsia"/>
                <w:sz w:val="18"/>
                <w:szCs w:val="18"/>
              </w:rPr>
              <w:t>19979.98</w:t>
            </w:r>
            <w:r>
              <w:rPr>
                <w:rFonts w:hint="eastAsia" w:ascii="Tahoma" w:hAnsi="Tahoma" w:cs="Tahoma"/>
                <w:szCs w:val="21"/>
              </w:rPr>
              <w:t>元（壹万玖仟玖佰柒拾玖元玖角捌分）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备注</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 xml:space="preserve"> </w:t>
            </w:r>
          </w:p>
        </w:tc>
      </w:tr>
    </w:tbl>
    <w:p>
      <w:pPr>
        <w:numPr>
          <w:ilvl w:val="0"/>
          <w:numId w:val="1"/>
        </w:numPr>
        <w:spacing w:line="360" w:lineRule="auto"/>
        <w:rPr>
          <w:b/>
        </w:rPr>
      </w:pPr>
      <w:r>
        <w:rPr>
          <w:rFonts w:hint="eastAsia"/>
          <w:b/>
        </w:rPr>
        <w:t>质量标准：按以下第</w:t>
      </w:r>
      <w:r>
        <w:rPr>
          <w:rFonts w:hint="eastAsia" w:ascii="华文细黑" w:hAnsi="华文细黑" w:eastAsia="华文细黑"/>
          <w:u w:val="single"/>
        </w:rPr>
        <w:t xml:space="preserve">2 </w:t>
      </w:r>
      <w:r>
        <w:rPr>
          <w:rFonts w:hint="eastAsia"/>
          <w:b/>
        </w:rPr>
        <w:t>（可多选）项执行：</w:t>
      </w:r>
    </w:p>
    <w:p>
      <w:pPr>
        <w:spacing w:line="360" w:lineRule="auto"/>
      </w:pPr>
      <w:r>
        <w:rPr>
          <w:rFonts w:hint="eastAsia"/>
        </w:rPr>
        <w:t>1.按国家标准执行｛标准号（如有）：｝；</w:t>
      </w:r>
    </w:p>
    <w:p>
      <w:pPr>
        <w:spacing w:line="360" w:lineRule="auto"/>
      </w:pPr>
      <w:r>
        <w:rPr>
          <w:rFonts w:hint="eastAsia"/>
        </w:rPr>
        <w:t>2.按行业标准执行｛标准号（如有）：｝；</w:t>
      </w:r>
    </w:p>
    <w:p>
      <w:pPr>
        <w:spacing w:line="360" w:lineRule="auto"/>
      </w:pPr>
      <w:r>
        <w:rPr>
          <w:rFonts w:hint="eastAsia"/>
        </w:rPr>
        <w:t>3.按供方企业标准执行｛标准号（如有）：｝；</w:t>
      </w:r>
    </w:p>
    <w:p>
      <w:pPr>
        <w:spacing w:line="360" w:lineRule="auto"/>
      </w:pPr>
      <w:r>
        <w:rPr>
          <w:rFonts w:hint="eastAsia"/>
        </w:rPr>
        <w:t>4.协议约定标准｛见本合同第条或合同附件：｝</w:t>
      </w:r>
    </w:p>
    <w:p>
      <w:pPr>
        <w:numPr>
          <w:ilvl w:val="0"/>
          <w:numId w:val="1"/>
        </w:numPr>
        <w:spacing w:line="360" w:lineRule="auto"/>
        <w:rPr>
          <w:b/>
        </w:rPr>
      </w:pPr>
      <w:r>
        <w:rPr>
          <w:rFonts w:hint="eastAsia"/>
          <w:b/>
        </w:rPr>
        <w:t>交付地点：</w:t>
      </w:r>
    </w:p>
    <w:p>
      <w:pPr>
        <w:spacing w:line="360" w:lineRule="auto"/>
        <w:ind w:firstLine="420"/>
      </w:pPr>
      <w:r>
        <w:rPr>
          <w:rFonts w:ascii="Times New Roman" w:hAnsi="Times New Roman" w:eastAsia="宋体" w:cs="Times New Roman"/>
          <w:szCs w:val="24"/>
        </w:rPr>
        <w:object>
          <v:shape id="_x0000_i1025" o:spt="201" alt="" type="#_x0000_t201" style="height:15.75pt;width:20.25pt;" o:ole="t" filled="f" o:preferrelative="t" stroked="f" coordsize="21600,21600">
            <v:path/>
            <v:fill on="f" focussize="0,0"/>
            <v:stroke on="f"/>
            <v:imagedata r:id="rId7" o:title=""/>
            <o:lock v:ext="edit" aspectratio="t"/>
            <w10:wrap type="none"/>
            <w10:anchorlock/>
          </v:shape>
          <w:control r:id="rId6" w:name="Control 1" w:shapeid="_x0000_i1025"/>
        </w:object>
      </w:r>
      <w:r>
        <w:rPr>
          <w:rFonts w:hint="eastAsia"/>
        </w:rPr>
        <w:t>株洲火车站</w:t>
      </w:r>
      <w:r>
        <w:rPr>
          <w:rFonts w:ascii="Times New Roman" w:hAnsi="Times New Roman" w:eastAsia="宋体" w:cs="Times New Roman"/>
          <w:szCs w:val="24"/>
        </w:rPr>
        <w:object>
          <v:shape id="_x0000_i1026" o:spt="201" alt="" type="#_x0000_t201" style="height:15.75pt;width:20.25pt;" o:ole="t" filled="f" o:preferrelative="t" stroked="f" coordsize="21600,21600">
            <v:path/>
            <v:fill on="f" focussize="0,0"/>
            <v:stroke on="f"/>
            <v:imagedata r:id="rId7" o:title=""/>
            <o:lock v:ext="edit" aspectratio="t"/>
            <w10:wrap type="none"/>
            <w10:anchorlock/>
          </v:shape>
          <w:control r:id="rId8" w:name="Control 2" w:shapeid="_x0000_i1026"/>
        </w:object>
      </w:r>
      <w:r>
        <w:rPr>
          <w:rFonts w:hint="eastAsia"/>
        </w:rPr>
        <w:t>需方指定地</w:t>
      </w:r>
      <w:r>
        <w:rPr>
          <w:rFonts w:ascii="Times New Roman" w:hAnsi="Times New Roman" w:eastAsia="宋体" w:cs="Times New Roman"/>
          <w:szCs w:val="24"/>
        </w:rPr>
        <w:object>
          <v:shape id="_x0000_i1027" o:spt="201" alt="" type="#_x0000_t201" style="height:15.75pt;width:20.25pt;" o:ole="t" filled="f" o:preferrelative="t" stroked="f" coordsize="21600,21600">
            <v:path/>
            <v:fill on="f" focussize="0,0"/>
            <v:stroke on="f"/>
            <v:imagedata r:id="rId10" o:title=""/>
            <o:lock v:ext="edit" aspectratio="t"/>
            <w10:wrap type="none"/>
            <w10:anchorlock/>
          </v:shape>
          <w:control r:id="rId9" w:name="Control 3" w:shapeid="_x0000_i1027"/>
        </w:object>
      </w:r>
      <w:r>
        <w:rPr>
          <w:rFonts w:hint="eastAsia"/>
        </w:rPr>
        <w:t>供方所在地</w:t>
      </w:r>
      <w:r>
        <w:rPr>
          <w:rFonts w:ascii="Times New Roman" w:hAnsi="Times New Roman" w:eastAsia="宋体" w:cs="Times New Roman"/>
          <w:szCs w:val="24"/>
        </w:rPr>
        <w:object>
          <v:shape id="_x0000_i1028" o:spt="201" alt="" type="#_x0000_t201" style="height:15.75pt;width:20.25pt;" o:ole="t" filled="f" o:preferrelative="t" stroked="f" coordsize="21600,21600">
            <v:path/>
            <v:fill on="f" focussize="0,0"/>
            <v:stroke on="f"/>
            <v:imagedata r:id="rId7" o:title=""/>
            <o:lock v:ext="edit" aspectratio="t"/>
            <w10:wrap type="none"/>
            <w10:anchorlock/>
          </v:shape>
          <w:control r:id="rId11" w:name="Control 4" w:shapeid="_x0000_i1028"/>
        </w:object>
      </w:r>
      <w:r>
        <w:rPr>
          <w:rFonts w:hint="eastAsia"/>
        </w:rPr>
        <w:t>长沙机场</w:t>
      </w:r>
      <w:r>
        <w:rPr>
          <w:rFonts w:ascii="Times New Roman" w:hAnsi="Times New Roman" w:eastAsia="宋体" w:cs="Times New Roman"/>
          <w:szCs w:val="24"/>
        </w:rPr>
        <w:object>
          <v:shape id="_x0000_i1029" o:spt="201" alt="" type="#_x0000_t201" style="height:15.75pt;width:20.25pt;" o:ole="t" filled="f" o:preferrelative="t" stroked="f" coordsize="21600,21600">
            <v:path/>
            <v:fill on="f" focussize="0,0"/>
            <v:stroke on="f"/>
            <v:imagedata r:id="rId7" o:title=""/>
            <o:lock v:ext="edit" aspectratio="t"/>
            <w10:wrap type="none"/>
            <w10:anchorlock/>
          </v:shape>
          <w:control r:id="rId12" w:name="Control 5" w:shapeid="_x0000_i1029"/>
        </w:object>
      </w:r>
      <w:r>
        <w:rPr>
          <w:rFonts w:hint="eastAsia"/>
        </w:rPr>
        <w:t>其它</w:t>
      </w:r>
    </w:p>
    <w:p>
      <w:pPr>
        <w:numPr>
          <w:ilvl w:val="0"/>
          <w:numId w:val="1"/>
        </w:numPr>
        <w:spacing w:line="360" w:lineRule="auto"/>
        <w:rPr>
          <w:b/>
        </w:rPr>
      </w:pPr>
      <w:r>
        <w:rPr>
          <w:rFonts w:hint="eastAsia"/>
          <w:b/>
        </w:rPr>
        <w:t>运输方式及费用承担：</w:t>
      </w:r>
    </w:p>
    <w:p>
      <w:pPr>
        <w:numPr>
          <w:ilvl w:val="0"/>
          <w:numId w:val="2"/>
        </w:numPr>
        <w:spacing w:line="360" w:lineRule="auto"/>
      </w:pPr>
      <w:r>
        <w:rPr>
          <w:rFonts w:hint="eastAsia"/>
        </w:rPr>
        <w:t>运输方式：按需方方式运输</w:t>
      </w:r>
    </w:p>
    <w:p>
      <w:pPr>
        <w:numPr>
          <w:ilvl w:val="0"/>
          <w:numId w:val="2"/>
        </w:numPr>
        <w:spacing w:line="360" w:lineRule="auto"/>
      </w:pPr>
      <w:r>
        <w:rPr>
          <w:rFonts w:hint="eastAsia"/>
        </w:rPr>
        <w:t>费用承担：由</w:t>
      </w:r>
      <w:r>
        <w:rPr>
          <w:rFonts w:ascii="Times New Roman" w:hAnsi="Times New Roman" w:eastAsia="宋体" w:cs="Times New Roman"/>
          <w:szCs w:val="24"/>
        </w:rPr>
        <w:object>
          <v:shape id="_x0000_i1030" o:spt="201" alt="" type="#_x0000_t201" style="height:15.75pt;width:20.25pt;" o:ole="t" filled="f" o:preferrelative="t" stroked="f" coordsize="21600,21600">
            <v:path/>
            <v:fill on="f" focussize="0,0"/>
            <v:stroke on="f"/>
            <v:imagedata r:id="rId10" o:title=""/>
            <o:lock v:ext="edit" aspectratio="t"/>
            <w10:wrap type="none"/>
            <w10:anchorlock/>
          </v:shape>
          <w:control r:id="rId13" w:name="Control 6" w:shapeid="_x0000_i1030"/>
        </w:object>
      </w:r>
      <w:r>
        <w:rPr>
          <w:rFonts w:hint="eastAsia"/>
        </w:rPr>
        <w:t>供方</w:t>
      </w:r>
      <w:r>
        <w:rPr>
          <w:rFonts w:ascii="Times New Roman" w:hAnsi="Times New Roman" w:eastAsia="宋体" w:cs="Times New Roman"/>
          <w:szCs w:val="24"/>
        </w:rPr>
        <w:object>
          <v:shape id="_x0000_i1031" o:spt="201" alt="" type="#_x0000_t201" style="height:15.75pt;width:20.25pt;" o:ole="t" filled="f" o:preferrelative="t" stroked="f" coordsize="21600,21600">
            <v:path/>
            <v:fill on="f" focussize="0,0"/>
            <v:stroke on="f"/>
            <v:imagedata r:id="rId7" o:title=""/>
            <o:lock v:ext="edit" aspectratio="t"/>
            <w10:wrap type="none"/>
            <w10:anchorlock/>
          </v:shape>
          <w:control r:id="rId14" w:name="Control 7" w:shapeid="_x0000_i1031"/>
        </w:object>
      </w:r>
      <w:r>
        <w:rPr>
          <w:rFonts w:hint="eastAsia"/>
        </w:rPr>
        <w:t>需方承担。</w:t>
      </w:r>
    </w:p>
    <w:p>
      <w:pPr>
        <w:numPr>
          <w:ilvl w:val="0"/>
          <w:numId w:val="1"/>
        </w:numPr>
        <w:spacing w:line="360" w:lineRule="auto"/>
        <w:rPr>
          <w:b/>
        </w:rPr>
      </w:pPr>
      <w:r>
        <w:rPr>
          <w:rFonts w:hint="eastAsia"/>
          <w:b/>
        </w:rPr>
        <w:t>包装标准及与包装物的回收：</w:t>
      </w:r>
    </w:p>
    <w:p>
      <w:pPr>
        <w:numPr>
          <w:ilvl w:val="0"/>
          <w:numId w:val="3"/>
        </w:numPr>
        <w:spacing w:line="360" w:lineRule="auto"/>
      </w:pPr>
      <w:r>
        <w:rPr>
          <w:rFonts w:hint="eastAsia"/>
        </w:rPr>
        <w:t>供方保证产品到达需方时无任何损害，要求原包装，包装费用由</w:t>
      </w:r>
      <w:r>
        <w:rPr>
          <w:rFonts w:ascii="Times New Roman" w:hAnsi="Times New Roman" w:eastAsia="宋体" w:cs="Times New Roman"/>
          <w:szCs w:val="24"/>
        </w:rPr>
        <w:object>
          <v:shape id="_x0000_i1032" o:spt="201" alt="" type="#_x0000_t201" style="height:15.75pt;width:20.25pt;" o:ole="t" filled="f" o:preferrelative="t" stroked="f" coordsize="21600,21600">
            <v:path/>
            <v:fill on="f" focussize="0,0"/>
            <v:stroke on="f"/>
            <v:imagedata r:id="rId7" o:title=""/>
            <o:lock v:ext="edit" aspectratio="t"/>
            <w10:wrap type="none"/>
            <w10:anchorlock/>
          </v:shape>
          <w:control r:id="rId15" w:name="Control 8" w:shapeid="_x0000_i1032"/>
        </w:object>
      </w:r>
      <w:r>
        <w:rPr>
          <w:rFonts w:hint="eastAsia"/>
        </w:rPr>
        <w:t>需方</w:t>
      </w:r>
      <w:r>
        <w:rPr>
          <w:rFonts w:ascii="Times New Roman" w:hAnsi="Times New Roman" w:eastAsia="宋体" w:cs="Times New Roman"/>
          <w:szCs w:val="24"/>
        </w:rPr>
        <w:object>
          <v:shape id="_x0000_i1033" o:spt="201" alt="" type="#_x0000_t201" style="height:15.75pt;width:20.25pt;" o:ole="t" filled="f" o:preferrelative="t" stroked="f" coordsize="21600,21600">
            <v:path/>
            <v:fill on="f" focussize="0,0"/>
            <v:stroke on="f"/>
            <v:imagedata r:id="rId10" o:title=""/>
            <o:lock v:ext="edit" aspectratio="t"/>
            <w10:wrap type="none"/>
            <w10:anchorlock/>
          </v:shape>
          <w:control r:id="rId16" w:name="Control 9" w:shapeid="_x0000_i1033"/>
        </w:object>
      </w:r>
      <w:r>
        <w:rPr>
          <w:rFonts w:hint="eastAsia"/>
        </w:rPr>
        <w:t>供方承担。当包装未满足需方要求时，需方可拒收。</w:t>
      </w:r>
    </w:p>
    <w:p>
      <w:pPr>
        <w:numPr>
          <w:ilvl w:val="0"/>
          <w:numId w:val="3"/>
        </w:numPr>
        <w:spacing w:line="360" w:lineRule="auto"/>
      </w:pPr>
      <w:r>
        <w:rPr>
          <w:rFonts w:ascii="Times New Roman" w:hAnsi="Times New Roman" w:eastAsia="宋体" w:cs="Times New Roman"/>
          <w:szCs w:val="24"/>
        </w:rPr>
        <w:object>
          <v:shape id="_x0000_i1034" o:spt="201" alt="" type="#_x0000_t201" style="height:15.75pt;width:20.25pt;" o:ole="t" filled="f" o:preferrelative="t" stroked="f" coordsize="21600,21600">
            <v:path/>
            <v:fill on="f" focussize="0,0"/>
            <v:stroke on="f"/>
            <v:imagedata r:id="rId7" o:title=""/>
            <o:lock v:ext="edit" aspectratio="t"/>
            <w10:wrap type="none"/>
            <w10:anchorlock/>
          </v:shape>
          <w:control r:id="rId17" w:name="Control 10" w:shapeid="_x0000_i1034"/>
        </w:object>
      </w:r>
      <w:r>
        <w:rPr>
          <w:rFonts w:hint="eastAsia"/>
        </w:rPr>
        <w:t>包装物回收</w:t>
      </w:r>
      <w:r>
        <w:rPr>
          <w:rFonts w:ascii="Times New Roman" w:hAnsi="Times New Roman" w:eastAsia="宋体" w:cs="Times New Roman"/>
          <w:szCs w:val="24"/>
        </w:rPr>
        <w:object>
          <v:shape id="_x0000_i1035" o:spt="201" alt="" type="#_x0000_t201" style="height:15.75pt;width:20.25pt;" o:ole="t" filled="f" o:preferrelative="t" stroked="f" coordsize="21600,21600">
            <v:path/>
            <v:fill on="f" focussize="0,0"/>
            <v:stroke on="f"/>
            <v:imagedata r:id="rId10" o:title=""/>
            <o:lock v:ext="edit" aspectratio="t"/>
            <w10:wrap type="none"/>
            <w10:anchorlock/>
          </v:shape>
          <w:control r:id="rId18" w:name="Control 11" w:shapeid="_x0000_i1035"/>
        </w:object>
      </w:r>
      <w:r>
        <w:rPr>
          <w:rFonts w:hint="eastAsia"/>
        </w:rPr>
        <w:t>包装物不回收</w:t>
      </w:r>
    </w:p>
    <w:p>
      <w:pPr>
        <w:pStyle w:val="8"/>
        <w:numPr>
          <w:ilvl w:val="0"/>
          <w:numId w:val="3"/>
        </w:numPr>
        <w:spacing w:line="360" w:lineRule="auto"/>
        <w:ind w:firstLineChars="0"/>
      </w:pPr>
      <w:r>
        <w:object>
          <v:shape id="_x0000_i1036" o:spt="201" alt="" type="#_x0000_t201" style="height:15.75pt;width:20.25pt;" o:ole="t" filled="f" o:preferrelative="t" stroked="f" coordsize="21600,21600">
            <v:path/>
            <v:fill on="f" focussize="0,0"/>
            <v:stroke on="f"/>
            <v:imagedata r:id="rId7" o:title=""/>
            <o:lock v:ext="edit" aspectratio="t"/>
            <w10:wrap type="none"/>
            <w10:anchorlock/>
          </v:shape>
          <w:control r:id="rId19" w:name="Control 12" w:shapeid="_x0000_i1036"/>
        </w:object>
      </w:r>
      <w:r>
        <w:rPr>
          <w:rFonts w:hint="eastAsia"/>
        </w:rPr>
        <w:t>不需包装</w:t>
      </w:r>
    </w:p>
    <w:p>
      <w:pPr>
        <w:numPr>
          <w:ilvl w:val="0"/>
          <w:numId w:val="1"/>
        </w:numPr>
        <w:spacing w:line="360" w:lineRule="auto"/>
        <w:rPr>
          <w:b/>
        </w:rPr>
      </w:pPr>
      <w:r>
        <w:rPr>
          <w:rFonts w:hint="eastAsia"/>
          <w:b/>
        </w:rPr>
        <w:t>验收：</w:t>
      </w:r>
    </w:p>
    <w:p>
      <w:pPr>
        <w:numPr>
          <w:ilvl w:val="1"/>
          <w:numId w:val="1"/>
        </w:numPr>
        <w:spacing w:line="360" w:lineRule="auto"/>
      </w:pPr>
      <w:r>
        <w:rPr>
          <w:rFonts w:hint="eastAsia"/>
        </w:rPr>
        <w:t>验收标准：本合同约定的质量标准。</w:t>
      </w:r>
    </w:p>
    <w:p>
      <w:pPr>
        <w:numPr>
          <w:ilvl w:val="1"/>
          <w:numId w:val="1"/>
        </w:numPr>
        <w:tabs>
          <w:tab w:val="clear" w:pos="840"/>
        </w:tabs>
        <w:spacing w:line="360" w:lineRule="auto"/>
      </w:pPr>
      <w:r>
        <w:rPr>
          <w:rFonts w:hint="eastAsia"/>
        </w:rPr>
        <w:t>验收地点：需方所在地。</w:t>
      </w:r>
    </w:p>
    <w:p>
      <w:pPr>
        <w:numPr>
          <w:ilvl w:val="1"/>
          <w:numId w:val="1"/>
        </w:numPr>
        <w:spacing w:line="360" w:lineRule="auto"/>
      </w:pPr>
      <w:r>
        <w:rPr>
          <w:rFonts w:hint="eastAsia"/>
        </w:rPr>
        <w:t>验收资质：所有产品必须具有生产厂家所出具的原产地证明书。</w:t>
      </w:r>
    </w:p>
    <w:p>
      <w:pPr>
        <w:numPr>
          <w:ilvl w:val="1"/>
          <w:numId w:val="1"/>
        </w:numPr>
        <w:spacing w:line="360" w:lineRule="auto"/>
      </w:pPr>
      <w:r>
        <w:rPr>
          <w:rFonts w:hint="eastAsia"/>
        </w:rPr>
        <w:t>验收不合格产品处理：需方可以自行决定采用以下任何一种方式或任何几种方式的组合：</w:t>
      </w:r>
    </w:p>
    <w:p>
      <w:pPr>
        <w:numPr>
          <w:ilvl w:val="2"/>
          <w:numId w:val="1"/>
        </w:numPr>
        <w:spacing w:line="360" w:lineRule="auto"/>
      </w:pPr>
      <w:r>
        <w:rPr>
          <w:rFonts w:hint="eastAsia"/>
        </w:rPr>
        <w:t>需方拒绝接受商品，并且在供方承担违约责任和相关费用的前提下，将合同标的退回供方。供方应当在需方提出书面要求后10日内交付合格产品，逾期交付合格产品的，按本合同第八条第二款条执行。</w:t>
      </w:r>
    </w:p>
    <w:p>
      <w:pPr>
        <w:numPr>
          <w:ilvl w:val="2"/>
          <w:numId w:val="1"/>
        </w:numPr>
        <w:spacing w:line="360" w:lineRule="auto"/>
      </w:pPr>
      <w:r>
        <w:rPr>
          <w:rFonts w:hint="eastAsia"/>
        </w:rPr>
        <w:t>需方可以自行或委托第三方修理或采取其他方法使商品符合质量标准，但相关责任和费用由供方承担。</w:t>
      </w:r>
    </w:p>
    <w:p>
      <w:pPr>
        <w:numPr>
          <w:ilvl w:val="2"/>
          <w:numId w:val="1"/>
        </w:numPr>
        <w:spacing w:line="360" w:lineRule="auto"/>
      </w:pPr>
      <w:r>
        <w:rPr>
          <w:rFonts w:hint="eastAsia"/>
        </w:rPr>
        <w:t>以需方认可的合理折扣价格接受商品，并执行本合同第六条关于质量保证期的约定。</w:t>
      </w:r>
    </w:p>
    <w:p>
      <w:pPr>
        <w:numPr>
          <w:ilvl w:val="0"/>
          <w:numId w:val="1"/>
        </w:numPr>
        <w:spacing w:line="360" w:lineRule="auto"/>
        <w:rPr>
          <w:b/>
        </w:rPr>
      </w:pPr>
      <w:r>
        <w:rPr>
          <w:rFonts w:hint="eastAsia"/>
          <w:b/>
        </w:rPr>
        <w:t>质量保证期：</w:t>
      </w:r>
    </w:p>
    <w:p>
      <w:pPr>
        <w:spacing w:line="500" w:lineRule="exact"/>
        <w:ind w:firstLine="420" w:firstLineChars="200"/>
      </w:pPr>
      <w:r>
        <w:rPr>
          <w:rFonts w:hint="eastAsia"/>
        </w:rPr>
        <w:t>需方最终验收合格之日起产品进入质量保证期，质量保证期为</w:t>
      </w:r>
      <w:r>
        <w:rPr>
          <w:u w:val="single"/>
        </w:rPr>
        <w:t>2</w:t>
      </w:r>
      <w:r>
        <w:rPr>
          <w:rFonts w:hint="eastAsia"/>
        </w:rPr>
        <w:t>年。在质量保证期内，由于供方原因导致产品出现质量问题的，供方需尽快消除质量问题并赔偿损失。质量保证期应该在质量问题消除后重新开始计算。保证期后，如确定属于供方责任影响商品正常使用的缺陷时，需方有权利要求供方赔偿因该缺陷造成的损失。</w:t>
      </w:r>
    </w:p>
    <w:p>
      <w:pPr>
        <w:numPr>
          <w:ilvl w:val="0"/>
          <w:numId w:val="1"/>
        </w:numPr>
        <w:tabs>
          <w:tab w:val="clear" w:pos="420"/>
        </w:tabs>
        <w:spacing w:line="360" w:lineRule="auto"/>
        <w:rPr>
          <w:b/>
        </w:rPr>
      </w:pPr>
      <w:r>
        <w:rPr>
          <w:rFonts w:hint="eastAsia"/>
          <w:b/>
        </w:rPr>
        <w:t>结算：</w:t>
      </w:r>
    </w:p>
    <w:p>
      <w:pPr>
        <w:numPr>
          <w:ilvl w:val="1"/>
          <w:numId w:val="1"/>
        </w:numPr>
        <w:spacing w:line="360" w:lineRule="auto"/>
      </w:pPr>
      <w:r>
        <w:rPr>
          <w:rFonts w:hint="eastAsia"/>
        </w:rPr>
        <w:t>结算方式：按照第</w:t>
      </w:r>
      <w:r>
        <w:rPr>
          <w:rFonts w:hint="eastAsia"/>
          <w:u w:val="single"/>
        </w:rPr>
        <w:t>2</w:t>
      </w:r>
      <w:r>
        <w:rPr>
          <w:rFonts w:hint="eastAsia"/>
        </w:rPr>
        <w:t>种方式执行：</w:t>
      </w:r>
    </w:p>
    <w:p>
      <w:pPr>
        <w:numPr>
          <w:ilvl w:val="2"/>
          <w:numId w:val="1"/>
        </w:numPr>
        <w:spacing w:line="360" w:lineRule="auto"/>
      </w:pPr>
      <w:r>
        <w:rPr>
          <w:rFonts w:hint="eastAsia"/>
        </w:rPr>
        <w:t>款到发货；</w:t>
      </w:r>
    </w:p>
    <w:p>
      <w:pPr>
        <w:numPr>
          <w:ilvl w:val="2"/>
          <w:numId w:val="1"/>
        </w:numPr>
        <w:spacing w:line="360" w:lineRule="auto"/>
      </w:pPr>
      <w:r>
        <w:rPr>
          <w:rFonts w:hint="eastAsia"/>
        </w:rPr>
        <w:t>供</w:t>
      </w:r>
      <w:r>
        <w:rPr>
          <w:rFonts w:hint="eastAsia" w:ascii="Calibri" w:hAnsi="Calibri" w:eastAsia="宋体" w:cs="Times New Roman"/>
        </w:rPr>
        <w:t>方向</w:t>
      </w:r>
      <w:r>
        <w:rPr>
          <w:rFonts w:hint="eastAsia"/>
        </w:rPr>
        <w:t>需方</w:t>
      </w:r>
      <w:r>
        <w:rPr>
          <w:rFonts w:hint="eastAsia" w:ascii="Calibri" w:hAnsi="Calibri" w:eastAsia="宋体" w:cs="Times New Roman"/>
        </w:rPr>
        <w:t>交付产品及相关凭证及用户出具的到货确认书。货物验收合格并收到</w:t>
      </w:r>
      <w:r>
        <w:rPr>
          <w:rFonts w:hint="eastAsia"/>
        </w:rPr>
        <w:t>供</w:t>
      </w:r>
      <w:r>
        <w:rPr>
          <w:rFonts w:hint="eastAsia" w:ascii="Calibri" w:hAnsi="Calibri" w:eastAsia="宋体" w:cs="Times New Roman"/>
        </w:rPr>
        <w:t>方开具的货物总价款100%的全额增值税发票后，且需方客户验收发票无误并完成挂账后，</w:t>
      </w:r>
      <w:r>
        <w:rPr>
          <w:rFonts w:hint="eastAsia"/>
        </w:rPr>
        <w:t>需方</w:t>
      </w:r>
      <w:r>
        <w:rPr>
          <w:rFonts w:hint="eastAsia" w:ascii="Calibri" w:hAnsi="Calibri" w:eastAsia="宋体" w:cs="Times New Roman"/>
        </w:rPr>
        <w:t>以6个月承兑汇票形式向</w:t>
      </w:r>
      <w:r>
        <w:rPr>
          <w:rFonts w:hint="eastAsia"/>
        </w:rPr>
        <w:t>供</w:t>
      </w:r>
      <w:r>
        <w:rPr>
          <w:rFonts w:hint="eastAsia" w:ascii="Calibri" w:hAnsi="Calibri" w:eastAsia="宋体" w:cs="Times New Roman"/>
        </w:rPr>
        <w:t>方支付95%的货款。余款5%留作质量保证金，</w:t>
      </w:r>
      <w:r>
        <w:rPr>
          <w:rFonts w:hint="eastAsia"/>
        </w:rPr>
        <w:t>需方</w:t>
      </w:r>
      <w:r>
        <w:rPr>
          <w:rFonts w:hint="eastAsia" w:ascii="Calibri" w:hAnsi="Calibri" w:eastAsia="宋体" w:cs="Times New Roman"/>
        </w:rPr>
        <w:t>在质量保证期届满后视</w:t>
      </w:r>
      <w:r>
        <w:rPr>
          <w:rFonts w:hint="eastAsia"/>
        </w:rPr>
        <w:t>供方</w:t>
      </w:r>
      <w:r>
        <w:rPr>
          <w:rFonts w:hint="eastAsia" w:ascii="Calibri" w:hAnsi="Calibri" w:eastAsia="宋体" w:cs="Times New Roman"/>
        </w:rPr>
        <w:t>质量责任履行情况无息支付。</w:t>
      </w:r>
    </w:p>
    <w:p>
      <w:pPr>
        <w:numPr>
          <w:ilvl w:val="2"/>
          <w:numId w:val="1"/>
        </w:numPr>
        <w:spacing w:line="360" w:lineRule="auto"/>
      </w:pPr>
      <w:r>
        <w:rPr>
          <w:rFonts w:hint="eastAsia"/>
        </w:rPr>
        <w:t>其他约定：</w:t>
      </w:r>
      <w:r>
        <w:rPr>
          <w:rFonts w:hint="eastAsia"/>
          <w:u w:val="single"/>
        </w:rPr>
        <w:t>无</w:t>
      </w:r>
    </w:p>
    <w:p>
      <w:pPr>
        <w:numPr>
          <w:ilvl w:val="0"/>
          <w:numId w:val="1"/>
        </w:numPr>
        <w:spacing w:line="360" w:lineRule="auto"/>
        <w:rPr>
          <w:b/>
        </w:rPr>
      </w:pPr>
      <w:r>
        <w:rPr>
          <w:rFonts w:hint="eastAsia"/>
          <w:b/>
        </w:rPr>
        <w:t>违约责任：</w:t>
      </w:r>
    </w:p>
    <w:p>
      <w:pPr>
        <w:numPr>
          <w:ilvl w:val="1"/>
          <w:numId w:val="1"/>
        </w:numPr>
        <w:spacing w:line="360" w:lineRule="auto"/>
      </w:pPr>
      <w:r>
        <w:rPr>
          <w:rFonts w:hint="eastAsia"/>
        </w:rPr>
        <w:t>质量违约：除按照本合同第六条处理外，须向需方支付出现质量问题的产品总金额的</w:t>
      </w:r>
      <w:r>
        <w:rPr>
          <w:rFonts w:hint="eastAsia"/>
          <w:u w:val="single"/>
        </w:rPr>
        <w:t>10%</w:t>
      </w:r>
      <w:r>
        <w:rPr>
          <w:rFonts w:hint="eastAsia"/>
        </w:rPr>
        <w:t>作为违约金，违约金不足以弥补因产品质量问题给需方造成损失的，供方还应承担损害赔偿责任。</w:t>
      </w:r>
    </w:p>
    <w:p>
      <w:pPr>
        <w:numPr>
          <w:ilvl w:val="1"/>
          <w:numId w:val="1"/>
        </w:numPr>
        <w:spacing w:line="360" w:lineRule="auto"/>
      </w:pPr>
      <w:r>
        <w:rPr>
          <w:rFonts w:hint="eastAsia"/>
        </w:rPr>
        <w:t>逾期违约：供方逾期交货的，应按逾期交货金额每日千分之</w:t>
      </w:r>
      <w:r>
        <w:rPr>
          <w:rFonts w:hint="eastAsia"/>
          <w:u w:val="single"/>
        </w:rPr>
        <w:t>1</w:t>
      </w:r>
      <w:r>
        <w:rPr>
          <w:rFonts w:hint="eastAsia"/>
        </w:rPr>
        <w:t>向需方支付违约金，逾期超过</w:t>
      </w:r>
      <w:r>
        <w:rPr>
          <w:rFonts w:hint="eastAsia"/>
          <w:u w:val="single"/>
        </w:rPr>
        <w:t>15</w:t>
      </w:r>
      <w:r>
        <w:rPr>
          <w:rFonts w:hint="eastAsia"/>
        </w:rPr>
        <w:t>天，需方有权解除合同。</w:t>
      </w:r>
    </w:p>
    <w:p>
      <w:pPr>
        <w:numPr>
          <w:ilvl w:val="1"/>
          <w:numId w:val="1"/>
        </w:numPr>
        <w:spacing w:line="360" w:lineRule="auto"/>
      </w:pPr>
      <w:r>
        <w:t>若供方出现违反本合同的</w:t>
      </w:r>
      <w:r>
        <w:rPr>
          <w:rFonts w:hint="eastAsia"/>
        </w:rPr>
        <w:t>任一</w:t>
      </w:r>
      <w:r>
        <w:t>违约行为，由供方赔偿需方因此遭受的所有损失</w:t>
      </w:r>
      <w:r>
        <w:rPr>
          <w:rFonts w:hint="eastAsia"/>
        </w:rPr>
        <w:t>，包括但不限于直接和间接损失以及基于诉讼所发生的一切费用（如律师费、差旅费等）。</w:t>
      </w:r>
    </w:p>
    <w:p>
      <w:pPr>
        <w:numPr>
          <w:ilvl w:val="1"/>
          <w:numId w:val="1"/>
        </w:numPr>
        <w:spacing w:line="360" w:lineRule="auto"/>
      </w:pPr>
      <w:r>
        <w:rPr>
          <w:rFonts w:hint="eastAsia"/>
        </w:rPr>
        <w:t>保密责任：合同一方应对在本合同签订及履行过程中从对方所知悉或对方所披露的信息（包括但不限于商业秘密、技术秘密等）承担保密责任，保密期限至上述信息公开时终止。双方另行签订保密协议的，按保密协议执行。双方签有保密协议的，按保密协议执行。</w:t>
      </w:r>
    </w:p>
    <w:p>
      <w:pPr>
        <w:numPr>
          <w:ilvl w:val="0"/>
          <w:numId w:val="1"/>
        </w:numPr>
        <w:spacing w:line="360" w:lineRule="auto"/>
        <w:rPr>
          <w:b/>
        </w:rPr>
      </w:pPr>
      <w:r>
        <w:rPr>
          <w:rFonts w:hint="eastAsia"/>
          <w:b/>
        </w:rPr>
        <w:t>知识产权：</w:t>
      </w:r>
    </w:p>
    <w:p>
      <w:pPr>
        <w:spacing w:line="360" w:lineRule="auto"/>
        <w:ind w:firstLine="420"/>
      </w:pPr>
      <w:r>
        <w:rPr>
          <w:rFonts w:hint="eastAsia"/>
        </w:rPr>
        <w:t>对因合同标的侵犯第三人的知识产权或其他任何合法权益所引起的一切费用、责任、损失及损害，由供方承担，供方应确保需方不受到损害。</w:t>
      </w:r>
    </w:p>
    <w:p>
      <w:pPr>
        <w:numPr>
          <w:ilvl w:val="0"/>
          <w:numId w:val="1"/>
        </w:numPr>
        <w:spacing w:line="360" w:lineRule="auto"/>
        <w:rPr>
          <w:b/>
        </w:rPr>
      </w:pPr>
      <w:r>
        <w:rPr>
          <w:rFonts w:hint="eastAsia"/>
          <w:b/>
        </w:rPr>
        <w:t>合同变更与解除</w:t>
      </w:r>
    </w:p>
    <w:p>
      <w:pPr>
        <w:numPr>
          <w:ilvl w:val="1"/>
          <w:numId w:val="1"/>
        </w:numPr>
        <w:spacing w:line="360" w:lineRule="auto"/>
      </w:pPr>
      <w:r>
        <w:rPr>
          <w:rFonts w:hint="eastAsia"/>
        </w:rPr>
        <w:t>在合同履行期届满前合理期限内，经与供方协商，需方可以变更合同中有关数量、规格等与产品有关的内容。若变更影响交货期或合同金额时，供方应在合理的期限内以适当方式通知需方，需方在接到该通知后，双方应就有关调整事宜进行协商。</w:t>
      </w:r>
    </w:p>
    <w:p>
      <w:pPr>
        <w:numPr>
          <w:ilvl w:val="1"/>
          <w:numId w:val="1"/>
        </w:numPr>
        <w:spacing w:line="360" w:lineRule="auto"/>
      </w:pPr>
      <w:r>
        <w:rPr>
          <w:rFonts w:hint="eastAsia"/>
        </w:rPr>
        <w:t>若无特别书面约定，供方违反本合同的任何一项规定，或供方解散、破产、被撤销、死亡，致使合同不能履行，或合同目的无法实现，需方有权解除合同。此时，供方必须向需方承担：</w:t>
      </w:r>
    </w:p>
    <w:p>
      <w:pPr>
        <w:numPr>
          <w:ilvl w:val="2"/>
          <w:numId w:val="1"/>
        </w:numPr>
        <w:spacing w:line="360" w:lineRule="auto"/>
      </w:pPr>
      <w:r>
        <w:rPr>
          <w:rFonts w:hint="eastAsia"/>
        </w:rPr>
        <w:t>赔偿因前述原因造成的直接的及其附随的损失、费用（包括但不限于律师费、差旅费等）。</w:t>
      </w:r>
    </w:p>
    <w:p>
      <w:pPr>
        <w:numPr>
          <w:ilvl w:val="2"/>
          <w:numId w:val="1"/>
        </w:numPr>
        <w:spacing w:line="360" w:lineRule="auto"/>
      </w:pPr>
      <w:r>
        <w:rPr>
          <w:rFonts w:hint="eastAsia"/>
        </w:rPr>
        <w:t>赔偿需方预见的及可预见的范围内的间接损失。</w:t>
      </w:r>
    </w:p>
    <w:p>
      <w:pPr>
        <w:numPr>
          <w:ilvl w:val="1"/>
          <w:numId w:val="1"/>
        </w:numPr>
        <w:spacing w:line="360" w:lineRule="auto"/>
      </w:pPr>
      <w:r>
        <w:rPr>
          <w:rFonts w:hint="eastAsia"/>
        </w:rPr>
        <w:t>若无需方的书面同意，供方不得转让本合同或本合同项下的权利、义务。</w:t>
      </w:r>
    </w:p>
    <w:p>
      <w:pPr>
        <w:numPr>
          <w:ilvl w:val="0"/>
          <w:numId w:val="1"/>
        </w:numPr>
        <w:spacing w:line="360" w:lineRule="auto"/>
        <w:rPr>
          <w:b/>
        </w:rPr>
      </w:pPr>
      <w:r>
        <w:rPr>
          <w:rFonts w:hint="eastAsia"/>
          <w:b/>
        </w:rPr>
        <w:t>不可抗力：</w:t>
      </w:r>
    </w:p>
    <w:p>
      <w:pPr>
        <w:spacing w:line="360" w:lineRule="auto"/>
        <w:ind w:firstLine="420"/>
      </w:pPr>
      <w:r>
        <w:rPr>
          <w:rFonts w:hint="eastAsia"/>
        </w:rPr>
        <w:t>任何一方由于不可抗力原因不能履行合同时，应在不可抗力事件发生后</w:t>
      </w:r>
      <w:r>
        <w:rPr>
          <w:rFonts w:hint="eastAsia"/>
          <w:u w:val="single"/>
        </w:rPr>
        <w:t>10</w:t>
      </w:r>
      <w:r>
        <w:rPr>
          <w:rFonts w:hint="eastAsia"/>
        </w:rPr>
        <w:t>日内向对方通报，以减轻可能给对方造成的损失，在取得有关机构的不可抗力证明后，允许延期履行、部分履行或者不履行合同，并根据情况可部分或全部免予承担违约责任。若未能及时通知的，延迟通知一方应该向对方承担通知延迟期间给对方造成的经济损失及延迟通知后对方因采取防止损失继续扩大措施产生的相关费用。</w:t>
      </w:r>
    </w:p>
    <w:p>
      <w:pPr>
        <w:numPr>
          <w:ilvl w:val="0"/>
          <w:numId w:val="1"/>
        </w:numPr>
        <w:spacing w:line="360" w:lineRule="auto"/>
        <w:rPr>
          <w:b/>
        </w:rPr>
      </w:pPr>
      <w:r>
        <w:rPr>
          <w:rFonts w:hint="eastAsia"/>
          <w:b/>
        </w:rPr>
        <w:t>争议解决</w:t>
      </w:r>
    </w:p>
    <w:p>
      <w:pPr>
        <w:spacing w:line="360" w:lineRule="auto"/>
        <w:ind w:firstLine="420"/>
      </w:pPr>
      <w:r>
        <w:rPr>
          <w:rFonts w:hint="eastAsia"/>
        </w:rPr>
        <w:t>执行本合同发生争议，双方协商解决。协商不成，双方同意提交需方住所地有管辖权的人民法院诉讼。</w:t>
      </w:r>
    </w:p>
    <w:p>
      <w:pPr>
        <w:numPr>
          <w:ilvl w:val="0"/>
          <w:numId w:val="1"/>
        </w:numPr>
        <w:spacing w:line="360" w:lineRule="auto"/>
        <w:rPr>
          <w:b/>
        </w:rPr>
      </w:pPr>
      <w:r>
        <w:rPr>
          <w:rFonts w:hint="eastAsia"/>
          <w:b/>
        </w:rPr>
        <w:t>合同附件经双方签字或盖章确认后，与本合同具有同等法律效力。</w:t>
      </w:r>
    </w:p>
    <w:p>
      <w:pPr>
        <w:numPr>
          <w:ilvl w:val="0"/>
          <w:numId w:val="1"/>
        </w:numPr>
        <w:spacing w:line="360" w:lineRule="auto"/>
        <w:rPr>
          <w:b/>
        </w:rPr>
      </w:pPr>
      <w:r>
        <w:rPr>
          <w:rFonts w:hint="eastAsia"/>
          <w:b/>
        </w:rPr>
        <w:t>其它约定事项：技术规格书作为合同附件，与本合同具有同等法律效力。</w:t>
      </w:r>
    </w:p>
    <w:p>
      <w:pPr>
        <w:numPr>
          <w:ilvl w:val="0"/>
          <w:numId w:val="1"/>
        </w:numPr>
        <w:spacing w:line="360" w:lineRule="auto"/>
        <w:rPr>
          <w:b/>
        </w:rPr>
      </w:pPr>
      <w:r>
        <w:rPr>
          <w:rFonts w:hint="eastAsia"/>
          <w:b/>
        </w:rPr>
        <w:t>本合同一式</w:t>
      </w:r>
      <w:r>
        <w:rPr>
          <w:rFonts w:hint="eastAsia"/>
          <w:b/>
          <w:u w:val="single"/>
        </w:rPr>
        <w:t>贰</w:t>
      </w:r>
      <w:r>
        <w:rPr>
          <w:rFonts w:hint="eastAsia"/>
          <w:b/>
        </w:rPr>
        <w:t>份，双方各执</w:t>
      </w:r>
      <w:r>
        <w:rPr>
          <w:rFonts w:hint="eastAsia"/>
          <w:b/>
          <w:u w:val="single"/>
        </w:rPr>
        <w:t>壹</w:t>
      </w:r>
      <w:r>
        <w:rPr>
          <w:rFonts w:hint="eastAsia"/>
          <w:b/>
        </w:rPr>
        <w:t>份，自双方签字盖章之日起生效。</w:t>
      </w:r>
    </w:p>
    <w:tbl>
      <w:tblPr>
        <w:tblStyle w:val="4"/>
        <w:tblW w:w="5294"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4790"/>
        <w:gridCol w:w="40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5372" w:hRule="atLeast"/>
          <w:jc w:val="center"/>
        </w:trPr>
        <w:tc>
          <w:tcPr>
            <w:tcW w:w="2718"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color w:val="000000"/>
                <w:szCs w:val="21"/>
              </w:rPr>
            </w:pPr>
            <w:r>
              <w:rPr>
                <w:rFonts w:hint="eastAsia" w:ascii="Tahoma" w:hAnsi="Tahoma" w:cs="Tahoma"/>
                <w:szCs w:val="21"/>
              </w:rPr>
              <w:t> </w:t>
            </w:r>
            <w:r>
              <w:rPr>
                <w:rFonts w:hint="eastAsia" w:ascii="Tahoma" w:hAnsi="Tahoma" w:cs="Tahoma"/>
                <w:szCs w:val="21"/>
                <w:lang w:eastAsia="zh-CN"/>
              </w:rPr>
              <w:t>需</w:t>
            </w:r>
            <w:r>
              <w:rPr>
                <w:rFonts w:hint="eastAsia" w:ascii="Tahoma" w:hAnsi="Tahoma" w:cs="Tahoma"/>
                <w:b/>
                <w:bCs/>
                <w:color w:val="000000"/>
                <w:szCs w:val="21"/>
              </w:rPr>
              <w:t>    方</w:t>
            </w:r>
          </w:p>
          <w:p>
            <w:pPr>
              <w:spacing w:line="360" w:lineRule="auto"/>
              <w:rPr>
                <w:rFonts w:ascii="Tahoma" w:hAnsi="Tahoma" w:cs="Tahoma"/>
                <w:color w:val="000000"/>
                <w:szCs w:val="21"/>
              </w:rPr>
            </w:pPr>
            <w:r>
              <w:rPr>
                <w:rFonts w:hint="eastAsia" w:ascii="Tahoma" w:hAnsi="Tahoma" w:cs="Tahoma"/>
                <w:color w:val="000000"/>
                <w:szCs w:val="21"/>
              </w:rPr>
              <w:t> 单位名称(章)</w:t>
            </w:r>
          </w:p>
          <w:p>
            <w:pPr>
              <w:spacing w:line="360" w:lineRule="auto"/>
              <w:rPr>
                <w:rFonts w:ascii="Tahoma" w:hAnsi="Tahoma" w:cs="Tahoma"/>
                <w:color w:val="000000"/>
                <w:szCs w:val="21"/>
              </w:rPr>
            </w:pPr>
            <w:r>
              <w:rPr>
                <w:rFonts w:hint="eastAsia" w:ascii="Calibri" w:hAnsi="Calibri" w:eastAsia="宋体" w:cs="Times New Roman"/>
                <w:u w:val="single"/>
              </w:rPr>
              <w:t>安路普（北京）汽车技术有限公司</w:t>
            </w:r>
            <w:r>
              <w:rPr>
                <w:rFonts w:ascii="Tahoma" w:hAnsi="Tahoma" w:cs="Tahoma"/>
                <w:color w:val="000000"/>
                <w:szCs w:val="21"/>
              </w:rPr>
              <w:br w:type="textWrapping"/>
            </w:r>
            <w:r>
              <w:rPr>
                <w:rFonts w:hint="eastAsia" w:ascii="Tahoma" w:hAnsi="Tahoma" w:cs="Tahoma"/>
                <w:color w:val="000000"/>
                <w:szCs w:val="21"/>
              </w:rPr>
              <w:t> 住所：</w:t>
            </w:r>
            <w:r>
              <w:rPr>
                <w:rFonts w:hint="eastAsia" w:ascii="Tahoma" w:hAnsi="Tahoma" w:cs="Tahoma"/>
                <w:color w:val="000000"/>
                <w:szCs w:val="21"/>
                <w:u w:val="single"/>
              </w:rPr>
              <w:t xml:space="preserve">                              </w:t>
            </w:r>
            <w:r>
              <w:rPr>
                <w:rFonts w:ascii="Tahoma" w:hAnsi="Tahoma" w:cs="Tahoma"/>
                <w:color w:val="000000"/>
                <w:sz w:val="18"/>
                <w:szCs w:val="18"/>
              </w:rPr>
              <w:t xml:space="preserve"> </w:t>
            </w:r>
          </w:p>
          <w:p>
            <w:pPr>
              <w:spacing w:line="360" w:lineRule="auto"/>
              <w:rPr>
                <w:rFonts w:ascii="Tahoma" w:hAnsi="Tahoma" w:cs="Tahoma"/>
                <w:color w:val="000000"/>
                <w:szCs w:val="21"/>
              </w:rPr>
            </w:pPr>
            <w:r>
              <w:rPr>
                <w:rFonts w:hint="eastAsia" w:ascii="Tahoma" w:hAnsi="Tahoma" w:cs="Tahoma"/>
                <w:color w:val="000000"/>
                <w:szCs w:val="21"/>
              </w:rPr>
              <w:t> 邮政编码：</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rPr>
              <w:t> 授权代表(签字)：</w:t>
            </w:r>
            <w:r>
              <w:rPr>
                <w:rFonts w:ascii="Tahoma" w:hAnsi="Tahoma" w:cs="Tahoma"/>
                <w:color w:val="000000"/>
                <w:szCs w:val="21"/>
              </w:rPr>
              <w:br w:type="textWrapping"/>
            </w:r>
            <w:r>
              <w:rPr>
                <w:rFonts w:hint="eastAsia" w:ascii="Tahoma" w:hAnsi="Tahoma" w:cs="Tahoma"/>
                <w:color w:val="000000"/>
                <w:szCs w:val="21"/>
              </w:rPr>
              <w:t> 开户行：</w:t>
            </w:r>
            <w:r>
              <w:rPr>
                <w:rFonts w:hint="eastAsia" w:ascii="Tahoma" w:hAnsi="Tahoma" w:cs="Tahoma"/>
                <w:color w:val="000000"/>
                <w:sz w:val="20"/>
                <w:szCs w:val="20"/>
                <w:u w:val="single"/>
              </w:rPr>
              <w:t xml:space="preserve"> </w:t>
            </w:r>
            <w:r>
              <w:rPr>
                <w:rFonts w:hint="eastAsia" w:ascii="Tahoma" w:hAnsi="Tahoma" w:cs="Tahoma"/>
                <w:color w:val="000000"/>
                <w:sz w:val="20"/>
                <w:szCs w:val="20"/>
                <w:u w:val="single"/>
                <w:lang w:eastAsia="zh-CN"/>
              </w:rPr>
              <w:t>华夏银行北京分行北沙滩支行</w:t>
            </w:r>
            <w:r>
              <w:rPr>
                <w:rFonts w:hint="eastAsia" w:ascii="Tahoma" w:hAnsi="Tahoma" w:cs="Tahoma"/>
                <w:color w:val="000000"/>
                <w:sz w:val="16"/>
                <w:szCs w:val="16"/>
                <w:u w:val="single"/>
              </w:rPr>
              <w:t xml:space="preserve">       </w:t>
            </w:r>
            <w:r>
              <w:rPr>
                <w:rFonts w:ascii="Tahoma" w:hAnsi="Tahoma" w:cs="Tahoma"/>
                <w:color w:val="000000"/>
                <w:sz w:val="16"/>
                <w:szCs w:val="16"/>
              </w:rPr>
              <w:br w:type="textWrapping"/>
            </w:r>
            <w:r>
              <w:rPr>
                <w:rFonts w:hint="eastAsia" w:ascii="Tahoma" w:hAnsi="Tahoma" w:cs="Tahoma"/>
                <w:color w:val="000000"/>
                <w:szCs w:val="21"/>
              </w:rPr>
              <w:t xml:space="preserve"> 帐   号： </w:t>
            </w:r>
            <w:r>
              <w:rPr>
                <w:rFonts w:hint="eastAsia" w:ascii="Tahoma" w:hAnsi="Tahoma" w:cs="Tahoma"/>
                <w:szCs w:val="21"/>
                <w:u w:val="single"/>
              </w:rPr>
              <w:t xml:space="preserve"> </w:t>
            </w:r>
            <w:r>
              <w:rPr>
                <w:rFonts w:hint="eastAsia" w:ascii="Tahoma" w:hAnsi="Tahoma" w:cs="Tahoma"/>
                <w:szCs w:val="21"/>
                <w:u w:val="single"/>
                <w:lang w:val="en-US" w:eastAsia="zh-CN"/>
              </w:rPr>
              <w:t>10252000000596791</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电    话：</w:t>
            </w:r>
            <w:r>
              <w:rPr>
                <w:rFonts w:hint="eastAsia" w:ascii="Tahoma" w:hAnsi="Tahoma" w:cs="Tahoma"/>
                <w:color w:val="000000"/>
                <w:szCs w:val="21"/>
                <w:u w:val="single"/>
              </w:rPr>
              <w:t xml:space="preserve"> </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传    真：</w:t>
            </w:r>
          </w:p>
          <w:p>
            <w:pPr>
              <w:spacing w:line="360" w:lineRule="auto"/>
              <w:ind w:firstLine="105" w:firstLineChars="50"/>
              <w:rPr>
                <w:rFonts w:ascii="Tahoma" w:hAnsi="Tahoma" w:cs="Tahoma"/>
                <w:color w:val="000000"/>
                <w:szCs w:val="21"/>
              </w:rPr>
            </w:pPr>
            <w:r>
              <w:rPr>
                <w:rFonts w:hint="eastAsia" w:ascii="Tahoma" w:hAnsi="Tahoma" w:cs="Tahoma"/>
                <w:color w:val="000000"/>
                <w:szCs w:val="21"/>
              </w:rPr>
              <w:t>日期：</w:t>
            </w:r>
          </w:p>
          <w:p>
            <w:pPr>
              <w:spacing w:line="360" w:lineRule="auto"/>
              <w:ind w:firstLine="105" w:firstLineChars="50"/>
              <w:rPr>
                <w:rFonts w:ascii="Tahoma" w:hAnsi="Tahoma" w:cs="Tahoma"/>
                <w:szCs w:val="21"/>
              </w:rPr>
            </w:pPr>
            <w:r>
              <w:rPr>
                <w:rFonts w:hint="eastAsia" w:ascii="Tahoma" w:hAnsi="Tahoma" w:cs="Tahoma"/>
                <w:color w:val="000000"/>
                <w:szCs w:val="21"/>
              </w:rPr>
              <w:t>税号</w:t>
            </w:r>
            <w:r>
              <w:rPr>
                <w:rFonts w:hint="eastAsia" w:ascii="Tahoma" w:hAnsi="Tahoma" w:cs="Tahoma"/>
                <w:szCs w:val="21"/>
              </w:rPr>
              <w:t>：</w:t>
            </w:r>
            <w:r>
              <w:rPr>
                <w:rFonts w:hint="eastAsia" w:ascii="Tahoma" w:hAnsi="Tahoma" w:cs="Tahoma"/>
                <w:szCs w:val="21"/>
                <w:u w:val="single"/>
              </w:rPr>
              <w:t xml:space="preserve"> </w:t>
            </w:r>
            <w:r>
              <w:rPr>
                <w:rFonts w:hint="eastAsia" w:ascii="Tahoma" w:hAnsi="Tahoma" w:cs="Tahoma"/>
                <w:szCs w:val="21"/>
                <w:u w:val="single"/>
                <w:lang w:val="en-US" w:eastAsia="zh-CN"/>
              </w:rPr>
              <w:t>911101085751656748</w:t>
            </w:r>
            <w:r>
              <w:rPr>
                <w:rFonts w:hint="eastAsia" w:ascii="Tahoma" w:hAnsi="Tahoma" w:cs="Tahoma"/>
                <w:szCs w:val="21"/>
                <w:u w:val="single"/>
              </w:rPr>
              <w:t xml:space="preserve">   </w:t>
            </w:r>
          </w:p>
        </w:tc>
        <w:tc>
          <w:tcPr>
            <w:tcW w:w="2282"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color w:val="000000"/>
                <w:szCs w:val="21"/>
              </w:rPr>
            </w:pPr>
            <w:r>
              <w:rPr>
                <w:rFonts w:hint="eastAsia" w:ascii="Tahoma" w:hAnsi="Tahoma" w:cs="Tahoma"/>
                <w:b/>
                <w:bCs/>
                <w:color w:val="000000"/>
                <w:szCs w:val="21"/>
              </w:rPr>
              <w:t>供    方</w:t>
            </w:r>
          </w:p>
          <w:p>
            <w:pPr>
              <w:spacing w:line="360" w:lineRule="auto"/>
              <w:rPr>
                <w:rFonts w:ascii="Tahoma" w:hAnsi="Tahoma" w:cs="Tahoma"/>
                <w:color w:val="000000"/>
                <w:szCs w:val="21"/>
              </w:rPr>
            </w:pPr>
            <w:r>
              <w:rPr>
                <w:rFonts w:hint="eastAsia" w:ascii="Tahoma" w:hAnsi="Tahoma" w:cs="Tahoma"/>
                <w:color w:val="000000"/>
                <w:szCs w:val="21"/>
              </w:rPr>
              <w:t>单位名称(章)</w:t>
            </w:r>
          </w:p>
          <w:p>
            <w:pPr>
              <w:spacing w:line="360" w:lineRule="auto"/>
              <w:rPr>
                <w:rFonts w:ascii="Tahoma" w:hAnsi="Tahoma" w:cs="Tahoma"/>
                <w:color w:val="000000"/>
                <w:szCs w:val="21"/>
              </w:rPr>
            </w:pPr>
            <w:r>
              <w:rPr>
                <w:rFonts w:hint="eastAsia" w:ascii="Calibri" w:hAnsi="Calibri" w:eastAsia="宋体" w:cs="Times New Roman"/>
                <w:u w:val="single"/>
              </w:rPr>
              <w:t>安路普（北京）汽车技术有限公司黄骅分公司</w:t>
            </w:r>
            <w:r>
              <w:rPr>
                <w:rFonts w:ascii="Tahoma" w:hAnsi="Tahoma" w:cs="Tahoma"/>
                <w:color w:val="000000"/>
                <w:szCs w:val="21"/>
              </w:rPr>
              <w:br w:type="textWrapping"/>
            </w:r>
            <w:r>
              <w:rPr>
                <w:rFonts w:hint="eastAsia" w:ascii="Tahoma" w:hAnsi="Tahoma" w:cs="Tahoma"/>
                <w:color w:val="000000"/>
                <w:szCs w:val="21"/>
              </w:rPr>
              <w:t> 住所：</w:t>
            </w:r>
            <w:r>
              <w:rPr>
                <w:rFonts w:hint="eastAsia" w:ascii="Tahoma" w:hAnsi="Tahoma" w:cs="Tahoma"/>
                <w:color w:val="000000"/>
                <w:szCs w:val="21"/>
                <w:u w:val="single"/>
              </w:rPr>
              <w:t xml:space="preserve"> 河北省黄骅市开发区        </w:t>
            </w:r>
            <w:r>
              <w:rPr>
                <w:rFonts w:ascii="Tahoma" w:hAnsi="Tahoma" w:cs="Tahoma"/>
                <w:color w:val="000000"/>
                <w:sz w:val="18"/>
                <w:szCs w:val="18"/>
              </w:rPr>
              <w:t xml:space="preserve"> </w:t>
            </w:r>
          </w:p>
          <w:p>
            <w:pPr>
              <w:spacing w:line="360" w:lineRule="auto"/>
              <w:rPr>
                <w:rFonts w:ascii="Tahoma" w:hAnsi="Tahoma" w:cs="Tahoma"/>
                <w:color w:val="000000"/>
                <w:szCs w:val="21"/>
              </w:rPr>
            </w:pPr>
            <w:r>
              <w:rPr>
                <w:rFonts w:hint="eastAsia" w:ascii="Tahoma" w:hAnsi="Tahoma" w:cs="Tahoma"/>
                <w:color w:val="000000"/>
                <w:szCs w:val="21"/>
              </w:rPr>
              <w:t> 邮政编码：</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rPr>
              <w:t> 授权代表(签字)：</w:t>
            </w:r>
            <w:r>
              <w:rPr>
                <w:rFonts w:ascii="Tahoma" w:hAnsi="Tahoma" w:cs="Tahoma"/>
                <w:color w:val="000000"/>
                <w:szCs w:val="21"/>
              </w:rPr>
              <w:br w:type="textWrapping"/>
            </w:r>
            <w:r>
              <w:rPr>
                <w:rFonts w:hint="eastAsia" w:ascii="Tahoma" w:hAnsi="Tahoma" w:cs="Tahoma"/>
                <w:color w:val="000000"/>
                <w:szCs w:val="21"/>
              </w:rPr>
              <w:t> 开户行：</w:t>
            </w:r>
            <w:r>
              <w:rPr>
                <w:rFonts w:hint="eastAsia" w:ascii="Tahoma" w:hAnsi="Tahoma" w:cs="Tahoma"/>
                <w:color w:val="000000"/>
                <w:sz w:val="20"/>
                <w:szCs w:val="20"/>
                <w:u w:val="single"/>
              </w:rPr>
              <w:t xml:space="preserve">            </w:t>
            </w:r>
            <w:r>
              <w:rPr>
                <w:rFonts w:hint="eastAsia" w:ascii="Tahoma" w:hAnsi="Tahoma" w:cs="Tahoma"/>
                <w:color w:val="000000"/>
                <w:sz w:val="16"/>
                <w:szCs w:val="16"/>
                <w:u w:val="single"/>
              </w:rPr>
              <w:t xml:space="preserve">                        </w:t>
            </w:r>
            <w:r>
              <w:rPr>
                <w:rFonts w:ascii="Tahoma" w:hAnsi="Tahoma" w:cs="Tahoma"/>
                <w:color w:val="000000"/>
                <w:sz w:val="16"/>
                <w:szCs w:val="16"/>
              </w:rPr>
              <w:br w:type="textWrapping"/>
            </w:r>
            <w:r>
              <w:rPr>
                <w:rFonts w:hint="eastAsia" w:ascii="Tahoma" w:hAnsi="Tahoma" w:cs="Tahoma"/>
                <w:color w:val="000000"/>
                <w:szCs w:val="21"/>
              </w:rPr>
              <w:t> 帐   号：</w:t>
            </w:r>
            <w:r>
              <w:rPr>
                <w:rFonts w:hint="eastAsia" w:ascii="Tahoma" w:hAnsi="Tahoma" w:cs="Tahoma"/>
                <w:color w:val="000000"/>
                <w:szCs w:val="21"/>
                <w:u w:val="single"/>
              </w:rPr>
              <w:t>5</w:t>
            </w:r>
            <w:r>
              <w:rPr>
                <w:rFonts w:ascii="Tahoma" w:hAnsi="Tahoma" w:cs="Tahoma"/>
                <w:color w:val="000000"/>
                <w:szCs w:val="21"/>
                <w:u w:val="single"/>
              </w:rPr>
              <w:t>310 1201 0000 0782 901</w:t>
            </w:r>
            <w:r>
              <w:rPr>
                <w:rFonts w:hint="eastAsia" w:ascii="Tahoma" w:hAnsi="Tahoma" w:cs="Tahoma"/>
                <w:color w:val="000000"/>
                <w:szCs w:val="21"/>
                <w:u w:val="single"/>
              </w:rPr>
              <w:t xml:space="preserve"> </w:t>
            </w:r>
            <w:r>
              <w:rPr>
                <w:rFonts w:ascii="Tahoma" w:hAnsi="Tahoma" w:cs="Tahoma"/>
                <w:color w:val="000000"/>
                <w:szCs w:val="21"/>
              </w:rPr>
              <w:br w:type="textWrapping"/>
            </w:r>
            <w:r>
              <w:rPr>
                <w:rFonts w:hint="eastAsia" w:ascii="Tahoma" w:hAnsi="Tahoma" w:cs="Tahoma"/>
                <w:color w:val="000000"/>
                <w:szCs w:val="21"/>
              </w:rPr>
              <w:t> 电    话：</w:t>
            </w:r>
            <w:r>
              <w:rPr>
                <w:rFonts w:hint="eastAsia" w:ascii="Tahoma" w:hAnsi="Tahoma" w:cs="Tahoma"/>
                <w:color w:val="000000"/>
                <w:szCs w:val="21"/>
                <w:u w:val="single"/>
              </w:rPr>
              <w:t xml:space="preserve"> </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传    真：</w:t>
            </w:r>
          </w:p>
          <w:p>
            <w:pPr>
              <w:spacing w:line="360" w:lineRule="auto"/>
              <w:ind w:firstLine="105" w:firstLineChars="50"/>
              <w:rPr>
                <w:rFonts w:ascii="Tahoma" w:hAnsi="Tahoma" w:cs="Tahoma"/>
                <w:color w:val="000000"/>
                <w:szCs w:val="21"/>
              </w:rPr>
            </w:pPr>
            <w:r>
              <w:rPr>
                <w:rFonts w:hint="eastAsia" w:ascii="Tahoma" w:hAnsi="Tahoma" w:cs="Tahoma"/>
                <w:color w:val="000000"/>
                <w:szCs w:val="21"/>
              </w:rPr>
              <w:t>日期：</w:t>
            </w:r>
          </w:p>
          <w:p>
            <w:pPr>
              <w:spacing w:line="360" w:lineRule="auto"/>
              <w:ind w:firstLine="105" w:firstLineChars="50"/>
              <w:rPr>
                <w:rFonts w:ascii="Tahoma" w:hAnsi="Tahoma" w:cs="Tahoma"/>
                <w:szCs w:val="21"/>
              </w:rPr>
            </w:pPr>
            <w:r>
              <w:rPr>
                <w:rFonts w:hint="eastAsia" w:ascii="Tahoma" w:hAnsi="Tahoma" w:cs="Tahoma"/>
                <w:color w:val="000000"/>
                <w:szCs w:val="21"/>
              </w:rPr>
              <w:t>税号</w:t>
            </w:r>
            <w:r>
              <w:rPr>
                <w:rFonts w:hint="eastAsia" w:ascii="Tahoma" w:hAnsi="Tahoma" w:cs="Tahoma"/>
                <w:szCs w:val="21"/>
              </w:rPr>
              <w:t>：</w:t>
            </w:r>
            <w:r>
              <w:rPr>
                <w:rFonts w:hint="eastAsia" w:ascii="Tahoma" w:hAnsi="Tahoma" w:cs="Tahoma"/>
                <w:szCs w:val="21"/>
                <w:u w:val="single"/>
              </w:rPr>
              <w:t>9</w:t>
            </w:r>
            <w:r>
              <w:rPr>
                <w:rFonts w:ascii="Tahoma" w:hAnsi="Tahoma" w:cs="Tahoma"/>
                <w:szCs w:val="21"/>
                <w:u w:val="single"/>
              </w:rPr>
              <w:t>1130983MA0DDA3227</w:t>
            </w:r>
          </w:p>
        </w:tc>
      </w:tr>
    </w:tbl>
    <w:p>
      <w:pPr>
        <w:spacing w:line="500" w:lineRule="exact"/>
        <w:rPr>
          <w:rFonts w:ascii="华文细黑" w:hAnsi="华文细黑" w:eastAsia="华文细黑"/>
          <w:bCs/>
          <w:color w:val="000000" w:themeColor="text1"/>
          <w:sz w:val="28"/>
          <w:szCs w:val="28"/>
          <w14:textFill>
            <w14:solidFill>
              <w14:schemeClr w14:val="tx1"/>
            </w14:solidFill>
          </w14:textFill>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75449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620"/>
    <w:multiLevelType w:val="multilevel"/>
    <w:tmpl w:val="065E6620"/>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033"/>
        </w:tabs>
        <w:ind w:left="1033" w:hanging="193"/>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3F5A78"/>
    <w:multiLevelType w:val="multilevel"/>
    <w:tmpl w:val="483F5A78"/>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D42B7A"/>
    <w:multiLevelType w:val="multilevel"/>
    <w:tmpl w:val="5ED42B7A"/>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CA"/>
    <w:rsid w:val="00001B4D"/>
    <w:rsid w:val="00013DC7"/>
    <w:rsid w:val="00020144"/>
    <w:rsid w:val="000219AA"/>
    <w:rsid w:val="00030523"/>
    <w:rsid w:val="00047969"/>
    <w:rsid w:val="0005055A"/>
    <w:rsid w:val="00053C12"/>
    <w:rsid w:val="00096A0E"/>
    <w:rsid w:val="000B5431"/>
    <w:rsid w:val="000B7A4A"/>
    <w:rsid w:val="000C0F88"/>
    <w:rsid w:val="000C5699"/>
    <w:rsid w:val="00124B3D"/>
    <w:rsid w:val="00132966"/>
    <w:rsid w:val="0015426D"/>
    <w:rsid w:val="001777C7"/>
    <w:rsid w:val="00180E25"/>
    <w:rsid w:val="00187570"/>
    <w:rsid w:val="0019706B"/>
    <w:rsid w:val="001A043E"/>
    <w:rsid w:val="001B63BA"/>
    <w:rsid w:val="001D14FC"/>
    <w:rsid w:val="001D4993"/>
    <w:rsid w:val="001E6BAE"/>
    <w:rsid w:val="002023EB"/>
    <w:rsid w:val="00211444"/>
    <w:rsid w:val="002202B2"/>
    <w:rsid w:val="00221601"/>
    <w:rsid w:val="00227805"/>
    <w:rsid w:val="002320E9"/>
    <w:rsid w:val="00233812"/>
    <w:rsid w:val="00265DBA"/>
    <w:rsid w:val="00267369"/>
    <w:rsid w:val="00283052"/>
    <w:rsid w:val="00291246"/>
    <w:rsid w:val="002A09C6"/>
    <w:rsid w:val="002A51A5"/>
    <w:rsid w:val="002A62D6"/>
    <w:rsid w:val="002B0BB4"/>
    <w:rsid w:val="002D00AF"/>
    <w:rsid w:val="002D678F"/>
    <w:rsid w:val="00311B10"/>
    <w:rsid w:val="003170D0"/>
    <w:rsid w:val="003337C1"/>
    <w:rsid w:val="003370D9"/>
    <w:rsid w:val="00337A7A"/>
    <w:rsid w:val="003459DE"/>
    <w:rsid w:val="00355665"/>
    <w:rsid w:val="00362197"/>
    <w:rsid w:val="003647F7"/>
    <w:rsid w:val="0037735A"/>
    <w:rsid w:val="0039063B"/>
    <w:rsid w:val="003B4401"/>
    <w:rsid w:val="003B4884"/>
    <w:rsid w:val="003E0F06"/>
    <w:rsid w:val="0042281F"/>
    <w:rsid w:val="00426517"/>
    <w:rsid w:val="00467773"/>
    <w:rsid w:val="00486662"/>
    <w:rsid w:val="004A0B36"/>
    <w:rsid w:val="004A1B31"/>
    <w:rsid w:val="004E3A18"/>
    <w:rsid w:val="004F2BA9"/>
    <w:rsid w:val="005027F4"/>
    <w:rsid w:val="00530681"/>
    <w:rsid w:val="005347A0"/>
    <w:rsid w:val="0055175D"/>
    <w:rsid w:val="00564D43"/>
    <w:rsid w:val="005774FC"/>
    <w:rsid w:val="005805C9"/>
    <w:rsid w:val="00587CB6"/>
    <w:rsid w:val="00591F48"/>
    <w:rsid w:val="0059798B"/>
    <w:rsid w:val="005C0A47"/>
    <w:rsid w:val="005D63DD"/>
    <w:rsid w:val="005E2BBF"/>
    <w:rsid w:val="00624EE0"/>
    <w:rsid w:val="00634E2C"/>
    <w:rsid w:val="00657FBC"/>
    <w:rsid w:val="00667CD5"/>
    <w:rsid w:val="00672188"/>
    <w:rsid w:val="00685E0E"/>
    <w:rsid w:val="006B2845"/>
    <w:rsid w:val="006B6651"/>
    <w:rsid w:val="006C4954"/>
    <w:rsid w:val="006D5187"/>
    <w:rsid w:val="00703E5D"/>
    <w:rsid w:val="00717144"/>
    <w:rsid w:val="0072142A"/>
    <w:rsid w:val="00731404"/>
    <w:rsid w:val="00750311"/>
    <w:rsid w:val="00754FEA"/>
    <w:rsid w:val="00765BB1"/>
    <w:rsid w:val="007812F2"/>
    <w:rsid w:val="007A212E"/>
    <w:rsid w:val="007A3638"/>
    <w:rsid w:val="007B7C1A"/>
    <w:rsid w:val="007C0181"/>
    <w:rsid w:val="007C0956"/>
    <w:rsid w:val="007C5E04"/>
    <w:rsid w:val="007D0FC4"/>
    <w:rsid w:val="007E00F1"/>
    <w:rsid w:val="00806563"/>
    <w:rsid w:val="008353CD"/>
    <w:rsid w:val="00835C85"/>
    <w:rsid w:val="00843636"/>
    <w:rsid w:val="00850E77"/>
    <w:rsid w:val="008610C0"/>
    <w:rsid w:val="008629F8"/>
    <w:rsid w:val="0088016B"/>
    <w:rsid w:val="0089230D"/>
    <w:rsid w:val="008A4772"/>
    <w:rsid w:val="008A5EF7"/>
    <w:rsid w:val="008A7E04"/>
    <w:rsid w:val="008B3989"/>
    <w:rsid w:val="008E2993"/>
    <w:rsid w:val="008E2ACF"/>
    <w:rsid w:val="008F6F99"/>
    <w:rsid w:val="0090258A"/>
    <w:rsid w:val="0093354F"/>
    <w:rsid w:val="0094059E"/>
    <w:rsid w:val="00964BB2"/>
    <w:rsid w:val="00970F10"/>
    <w:rsid w:val="00985173"/>
    <w:rsid w:val="00986C76"/>
    <w:rsid w:val="009975BC"/>
    <w:rsid w:val="009D0B95"/>
    <w:rsid w:val="009D6625"/>
    <w:rsid w:val="009E2C47"/>
    <w:rsid w:val="009F1116"/>
    <w:rsid w:val="00A10863"/>
    <w:rsid w:val="00A154D9"/>
    <w:rsid w:val="00A23A13"/>
    <w:rsid w:val="00A23FCA"/>
    <w:rsid w:val="00A30DC2"/>
    <w:rsid w:val="00A368C7"/>
    <w:rsid w:val="00A3744A"/>
    <w:rsid w:val="00A46C50"/>
    <w:rsid w:val="00A66068"/>
    <w:rsid w:val="00AA3644"/>
    <w:rsid w:val="00AE47E6"/>
    <w:rsid w:val="00B14D01"/>
    <w:rsid w:val="00B57C77"/>
    <w:rsid w:val="00B623C8"/>
    <w:rsid w:val="00B772C9"/>
    <w:rsid w:val="00B8360A"/>
    <w:rsid w:val="00BA234F"/>
    <w:rsid w:val="00BC3406"/>
    <w:rsid w:val="00BD55ED"/>
    <w:rsid w:val="00BF601D"/>
    <w:rsid w:val="00C12047"/>
    <w:rsid w:val="00C220F8"/>
    <w:rsid w:val="00C32470"/>
    <w:rsid w:val="00C50F1C"/>
    <w:rsid w:val="00C60B6D"/>
    <w:rsid w:val="00C64A75"/>
    <w:rsid w:val="00C71DBA"/>
    <w:rsid w:val="00C82F66"/>
    <w:rsid w:val="00CB710B"/>
    <w:rsid w:val="00CC4087"/>
    <w:rsid w:val="00CC5E1C"/>
    <w:rsid w:val="00CD21E5"/>
    <w:rsid w:val="00CD2BE3"/>
    <w:rsid w:val="00CE3D20"/>
    <w:rsid w:val="00CE4B52"/>
    <w:rsid w:val="00CF46C6"/>
    <w:rsid w:val="00CF5E55"/>
    <w:rsid w:val="00D15597"/>
    <w:rsid w:val="00D21326"/>
    <w:rsid w:val="00D24410"/>
    <w:rsid w:val="00D32489"/>
    <w:rsid w:val="00D52559"/>
    <w:rsid w:val="00D55ED7"/>
    <w:rsid w:val="00D64023"/>
    <w:rsid w:val="00D70CB1"/>
    <w:rsid w:val="00D870A6"/>
    <w:rsid w:val="00DA009D"/>
    <w:rsid w:val="00DB4A74"/>
    <w:rsid w:val="00DD1384"/>
    <w:rsid w:val="00DE476F"/>
    <w:rsid w:val="00DE49C0"/>
    <w:rsid w:val="00DE650A"/>
    <w:rsid w:val="00DF0ADE"/>
    <w:rsid w:val="00E024F7"/>
    <w:rsid w:val="00E05179"/>
    <w:rsid w:val="00E320FF"/>
    <w:rsid w:val="00E4156D"/>
    <w:rsid w:val="00E5058B"/>
    <w:rsid w:val="00E74269"/>
    <w:rsid w:val="00E8183A"/>
    <w:rsid w:val="00ED7208"/>
    <w:rsid w:val="00EE3FF5"/>
    <w:rsid w:val="00EF2DD0"/>
    <w:rsid w:val="00EF4734"/>
    <w:rsid w:val="00F02FB0"/>
    <w:rsid w:val="00F27951"/>
    <w:rsid w:val="00F3265F"/>
    <w:rsid w:val="00F61A06"/>
    <w:rsid w:val="00F81E4E"/>
    <w:rsid w:val="00FB441C"/>
    <w:rsid w:val="00FB5DF1"/>
    <w:rsid w:val="00FF7FD9"/>
    <w:rsid w:val="01B2423B"/>
    <w:rsid w:val="093E33B1"/>
    <w:rsid w:val="109E3B53"/>
    <w:rsid w:val="20CF0A78"/>
    <w:rsid w:val="337061B7"/>
    <w:rsid w:val="466A2F71"/>
    <w:rsid w:val="47AE228E"/>
    <w:rsid w:val="4965174E"/>
    <w:rsid w:val="55C10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styleId="9">
    <w:name w:val="Placeholder Text"/>
    <w:basedOn w:val="5"/>
    <w:semiHidden/>
    <w:qFormat/>
    <w:uiPriority w:val="99"/>
    <w:rPr>
      <w:color w:val="808080"/>
    </w:rPr>
  </w:style>
  <w:style w:type="character" w:customStyle="1" w:styleId="10">
    <w:name w:val="objwebdatawindowcontrol117d"/>
    <w:basedOn w:val="5"/>
    <w:qFormat/>
    <w:uiPriority w:val="0"/>
  </w:style>
  <w:style w:type="character" w:customStyle="1" w:styleId="11">
    <w:name w:val="objwebdatawindowcontrol31e5"/>
    <w:basedOn w:val="5"/>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12.xml"/><Relationship Id="rId18" Type="http://schemas.openxmlformats.org/officeDocument/2006/relationships/control" Target="activeX/activeX11.xml"/><Relationship Id="rId17" Type="http://schemas.openxmlformats.org/officeDocument/2006/relationships/control" Target="activeX/activeX10.xml"/><Relationship Id="rId16" Type="http://schemas.openxmlformats.org/officeDocument/2006/relationships/control" Target="activeX/activeX9.xml"/><Relationship Id="rId15" Type="http://schemas.openxmlformats.org/officeDocument/2006/relationships/control" Target="activeX/activeX8.xml"/><Relationship Id="rId14" Type="http://schemas.openxmlformats.org/officeDocument/2006/relationships/control" Target="activeX/activeX7.xml"/><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image" Target="media/image2.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E7B07-FA38-486D-A371-6FE482AFAFDE}">
  <ds:schemaRefs/>
</ds:datastoreItem>
</file>

<file path=docProps/app.xml><?xml version="1.0" encoding="utf-8"?>
<Properties xmlns="http://schemas.openxmlformats.org/officeDocument/2006/extended-properties" xmlns:vt="http://schemas.openxmlformats.org/officeDocument/2006/docPropsVTypes">
  <Template>Normal</Template>
  <Company>zic.csr</Company>
  <Pages>4</Pages>
  <Words>465</Words>
  <Characters>2653</Characters>
  <Lines>22</Lines>
  <Paragraphs>6</Paragraphs>
  <TotalTime>2</TotalTime>
  <ScaleCrop>false</ScaleCrop>
  <LinksUpToDate>false</LinksUpToDate>
  <CharactersWithSpaces>3112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2019-01-24T01:27:00Z</dcterms:created>
  <dc:creator>quanqiuls</dc:creator>
  <cp:lastModifiedBy>Administrator</cp:lastModifiedBy>
  <cp:lastPrinted>2019-04-01T07:20:00Z</cp:lastPrinted>
  <dcterms:modified xsi:type="dcterms:W3CDTF">2020-07-01T01:01:11Z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