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D5" w:rsidRDefault="00033100">
      <w:pPr>
        <w:jc w:val="center"/>
        <w:rPr>
          <w:rFonts w:asciiTheme="majorEastAsia" w:eastAsiaTheme="majorEastAsia" w:hAnsiTheme="majorEastAsia" w:cstheme="majorEastAsia"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-198120</wp:posOffset>
            </wp:positionV>
            <wp:extent cx="1285875" cy="990600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z w:val="52"/>
          <w:szCs w:val="52"/>
        </w:rPr>
        <w:t>说明函</w:t>
      </w:r>
    </w:p>
    <w:p w:rsidR="00CC18D5" w:rsidRDefault="00033100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   </w:t>
      </w:r>
      <w:r>
        <w:rPr>
          <w:rFonts w:ascii="宋体" w:hAnsi="宋体" w:hint="eastAsia"/>
          <w:sz w:val="24"/>
        </w:rPr>
        <w:t xml:space="preserve">  </w:t>
      </w:r>
    </w:p>
    <w:tbl>
      <w:tblPr>
        <w:tblpPr w:leftFromText="180" w:rightFromText="180" w:vertAnchor="text" w:horzAnchor="margin" w:tblpX="114" w:tblpY="70"/>
        <w:tblW w:w="1028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/>
      </w:tblPr>
      <w:tblGrid>
        <w:gridCol w:w="10287"/>
      </w:tblGrid>
      <w:tr w:rsidR="00CC18D5">
        <w:trPr>
          <w:trHeight w:val="558"/>
        </w:trPr>
        <w:tc>
          <w:tcPr>
            <w:tcW w:w="10287" w:type="dxa"/>
          </w:tcPr>
          <w:p w:rsidR="00CC18D5" w:rsidRDefault="00EB5B54" w:rsidP="00EB5B54">
            <w:pPr>
              <w:ind w:firstLineChars="100" w:firstLine="280"/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 w:rsidR="00033100">
              <w:rPr>
                <w:rFonts w:hint="eastAsia"/>
              </w:rPr>
              <w:t>紧急</w:t>
            </w:r>
            <w:r w:rsidR="00033100">
              <w:rPr>
                <w:rFonts w:hint="eastAsia"/>
              </w:rPr>
              <w:t xml:space="preserve">   </w:t>
            </w:r>
            <w:r w:rsidR="00033100">
              <w:rPr>
                <w:rFonts w:hint="eastAsia"/>
                <w:sz w:val="28"/>
                <w:szCs w:val="28"/>
              </w:rPr>
              <w:sym w:font="Wingdings 2" w:char="00A3"/>
            </w:r>
            <w:r w:rsidR="00033100">
              <w:rPr>
                <w:rFonts w:hint="eastAsia"/>
              </w:rPr>
              <w:t>报告</w:t>
            </w:r>
            <w:r w:rsidR="00033100">
              <w:rPr>
                <w:rFonts w:hint="eastAsia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 w:rsidR="00033100">
              <w:rPr>
                <w:rFonts w:hint="eastAsia"/>
              </w:rPr>
              <w:t>回函</w:t>
            </w:r>
            <w:r w:rsidR="00033100">
              <w:rPr>
                <w:rFonts w:hint="eastAsia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sym w:font="Wingdings 2" w:char="0052"/>
            </w:r>
            <w:r w:rsidR="00033100">
              <w:rPr>
                <w:rFonts w:hint="eastAsia"/>
              </w:rPr>
              <w:t>请批示</w:t>
            </w:r>
            <w:r w:rsidR="00033100">
              <w:rPr>
                <w:rFonts w:hint="eastAsia"/>
              </w:rPr>
              <w:t xml:space="preserve">   </w:t>
            </w:r>
            <w:r w:rsidR="00033100">
              <w:rPr>
                <w:rFonts w:hint="eastAsia"/>
                <w:sz w:val="28"/>
                <w:szCs w:val="28"/>
              </w:rPr>
              <w:t>□</w:t>
            </w:r>
            <w:r w:rsidR="00033100">
              <w:rPr>
                <w:rFonts w:hint="eastAsia"/>
              </w:rPr>
              <w:t>请办理</w:t>
            </w:r>
            <w:r w:rsidR="00033100">
              <w:rPr>
                <w:rFonts w:hint="eastAsia"/>
              </w:rPr>
              <w:t xml:space="preserve">    </w:t>
            </w:r>
            <w:r w:rsidR="00033100">
              <w:rPr>
                <w:rFonts w:hint="eastAsia"/>
                <w:sz w:val="28"/>
                <w:szCs w:val="28"/>
              </w:rPr>
              <w:t>□</w:t>
            </w:r>
            <w:r w:rsidR="00033100">
              <w:rPr>
                <w:rFonts w:hint="eastAsia"/>
              </w:rPr>
              <w:t>通报</w:t>
            </w:r>
            <w:r w:rsidR="00033100">
              <w:rPr>
                <w:rFonts w:hint="eastAsia"/>
              </w:rPr>
              <w:t xml:space="preserve">     </w:t>
            </w:r>
            <w:r w:rsidR="00033100">
              <w:rPr>
                <w:rFonts w:hint="eastAsia"/>
                <w:sz w:val="28"/>
                <w:szCs w:val="28"/>
              </w:rPr>
              <w:t>□</w:t>
            </w:r>
            <w:r w:rsidR="00033100">
              <w:rPr>
                <w:rFonts w:hint="eastAsia"/>
              </w:rPr>
              <w:t>通知</w:t>
            </w:r>
            <w:r w:rsidR="00033100">
              <w:rPr>
                <w:rFonts w:hint="eastAsia"/>
              </w:rPr>
              <w:t xml:space="preserve">   </w:t>
            </w:r>
            <w:r w:rsidR="00033100">
              <w:rPr>
                <w:rFonts w:hint="eastAsia"/>
                <w:sz w:val="28"/>
                <w:szCs w:val="28"/>
              </w:rPr>
              <w:t>□</w:t>
            </w:r>
            <w:r w:rsidR="00033100">
              <w:rPr>
                <w:rFonts w:hint="eastAsia"/>
              </w:rPr>
              <w:t>纪要</w:t>
            </w:r>
            <w:r w:rsidR="00033100">
              <w:rPr>
                <w:rFonts w:hint="eastAsia"/>
              </w:rPr>
              <w:t xml:space="preserve">   </w:t>
            </w:r>
            <w:r w:rsidR="00033100">
              <w:rPr>
                <w:rFonts w:hint="eastAsia"/>
                <w:sz w:val="28"/>
                <w:szCs w:val="28"/>
              </w:rPr>
              <w:t>□</w:t>
            </w:r>
            <w:r w:rsidR="00033100">
              <w:rPr>
                <w:rFonts w:hint="eastAsia"/>
              </w:rPr>
              <w:t>计划</w:t>
            </w:r>
          </w:p>
        </w:tc>
      </w:tr>
    </w:tbl>
    <w:p w:rsidR="00CC18D5" w:rsidRDefault="00033100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主题：</w:t>
      </w:r>
      <w:r w:rsidR="00C64495" w:rsidRPr="00C64495">
        <w:rPr>
          <w:rFonts w:hint="eastAsia"/>
          <w:sz w:val="28"/>
          <w:szCs w:val="28"/>
          <w:u w:val="single"/>
        </w:rPr>
        <w:t>关于设备及计量器具第三方计量服务的说明函</w:t>
      </w: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26"/>
      </w:tblGrid>
      <w:tr w:rsidR="00CC18D5">
        <w:trPr>
          <w:trHeight w:val="10983"/>
          <w:jc w:val="center"/>
        </w:trPr>
        <w:tc>
          <w:tcPr>
            <w:tcW w:w="10426" w:type="dxa"/>
          </w:tcPr>
          <w:p w:rsidR="00CC18D5" w:rsidRPr="00E70CCA" w:rsidRDefault="00B6137F">
            <w:pPr>
              <w:spacing w:line="276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E70CCA">
              <w:rPr>
                <w:rFonts w:ascii="宋体" w:hAnsi="宋体" w:hint="eastAsia"/>
                <w:sz w:val="28"/>
                <w:szCs w:val="28"/>
              </w:rPr>
              <w:t>为迎接2020年5月25号～5月27号进行的IATF 16949体系审核，同时提升完善对的产品质量控制，审核前按质量体系要求对</w:t>
            </w:r>
            <w:r w:rsidR="00EB5B54">
              <w:rPr>
                <w:rFonts w:ascii="宋体" w:hAnsi="宋体" w:hint="eastAsia"/>
                <w:sz w:val="28"/>
                <w:szCs w:val="28"/>
              </w:rPr>
              <w:t>分别归属于</w:t>
            </w:r>
            <w:r w:rsidR="00027C64" w:rsidRPr="00E70CCA">
              <w:rPr>
                <w:rFonts w:ascii="宋体" w:hAnsi="宋体" w:hint="eastAsia"/>
                <w:sz w:val="28"/>
                <w:szCs w:val="28"/>
              </w:rPr>
              <w:t>安路普昌平分公司及安路普制造部</w:t>
            </w:r>
            <w:r w:rsidRPr="00E70CCA">
              <w:rPr>
                <w:rFonts w:ascii="宋体" w:hAnsi="宋体" w:hint="eastAsia"/>
                <w:sz w:val="28"/>
                <w:szCs w:val="28"/>
              </w:rPr>
              <w:t>的相关设备及计量器具</w:t>
            </w:r>
            <w:r w:rsidR="00027C64" w:rsidRPr="00E70CCA">
              <w:rPr>
                <w:rFonts w:ascii="宋体" w:hAnsi="宋体" w:hint="eastAsia"/>
                <w:sz w:val="28"/>
                <w:szCs w:val="28"/>
              </w:rPr>
              <w:t>进行了第三方</w:t>
            </w:r>
            <w:r w:rsidR="00EB5B54">
              <w:rPr>
                <w:rFonts w:ascii="宋体" w:hAnsi="宋体" w:hint="eastAsia"/>
                <w:sz w:val="28"/>
                <w:szCs w:val="28"/>
              </w:rPr>
              <w:t>计量校验</w:t>
            </w:r>
            <w:r w:rsidR="00027C64" w:rsidRPr="00E70CCA">
              <w:rPr>
                <w:rFonts w:ascii="宋体" w:hAnsi="宋体" w:hint="eastAsia"/>
                <w:sz w:val="28"/>
                <w:szCs w:val="28"/>
              </w:rPr>
              <w:t>。经公司实验室协调，</w:t>
            </w:r>
            <w:r w:rsidR="00033100" w:rsidRPr="00E70CCA">
              <w:rPr>
                <w:rFonts w:ascii="宋体" w:hAnsi="宋体" w:hint="eastAsia"/>
                <w:sz w:val="28"/>
                <w:szCs w:val="28"/>
              </w:rPr>
              <w:t>委托</w:t>
            </w:r>
            <w:r w:rsidR="00027C64" w:rsidRPr="00E70CCA">
              <w:rPr>
                <w:rFonts w:ascii="宋体" w:hAnsi="宋体" w:hint="eastAsia"/>
                <w:sz w:val="28"/>
                <w:szCs w:val="28"/>
              </w:rPr>
              <w:t>了中天航测（北京）计量技术服务有限公司进行第三方计量服务。</w:t>
            </w:r>
          </w:p>
          <w:p w:rsidR="00CC18D5" w:rsidRPr="00E70CCA" w:rsidRDefault="00033100">
            <w:pPr>
              <w:spacing w:line="276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E70CCA">
              <w:rPr>
                <w:rFonts w:ascii="宋体" w:hAnsi="宋体" w:hint="eastAsia"/>
                <w:sz w:val="28"/>
                <w:szCs w:val="28"/>
              </w:rPr>
              <w:t>相关内容如下：</w:t>
            </w:r>
          </w:p>
          <w:p w:rsidR="00CC18D5" w:rsidRPr="00E70CCA" w:rsidRDefault="00027C64">
            <w:pPr>
              <w:spacing w:line="276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E70CCA">
              <w:rPr>
                <w:rFonts w:ascii="宋体" w:hAnsi="宋体" w:hint="eastAsia"/>
                <w:sz w:val="28"/>
                <w:szCs w:val="28"/>
              </w:rPr>
              <w:t>服务</w:t>
            </w:r>
            <w:r w:rsidR="00033100" w:rsidRPr="00E70CCA">
              <w:rPr>
                <w:rFonts w:ascii="宋体" w:hAnsi="宋体" w:hint="eastAsia"/>
                <w:sz w:val="28"/>
                <w:szCs w:val="28"/>
              </w:rPr>
              <w:t>厂家：</w:t>
            </w:r>
            <w:r w:rsidRPr="00E70CCA">
              <w:rPr>
                <w:rFonts w:ascii="宋体" w:hAnsi="宋体" w:hint="eastAsia"/>
                <w:sz w:val="28"/>
                <w:szCs w:val="28"/>
              </w:rPr>
              <w:t>中天航测（北京）计量技术服务有限公司</w:t>
            </w:r>
          </w:p>
          <w:p w:rsidR="00CC18D5" w:rsidRPr="00E70CCA" w:rsidRDefault="00D423B7">
            <w:pPr>
              <w:spacing w:line="276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计量</w:t>
            </w:r>
            <w:r w:rsidR="00033100" w:rsidRPr="00E70CCA">
              <w:rPr>
                <w:rFonts w:ascii="宋体" w:hAnsi="宋体" w:hint="eastAsia"/>
                <w:sz w:val="28"/>
                <w:szCs w:val="28"/>
              </w:rPr>
              <w:t>时间：</w:t>
            </w:r>
            <w:r w:rsidR="00027C64" w:rsidRPr="00E70CCA">
              <w:rPr>
                <w:rFonts w:ascii="宋体" w:hAnsi="宋体" w:hint="eastAsia"/>
                <w:sz w:val="28"/>
                <w:szCs w:val="28"/>
              </w:rPr>
              <w:t>已于2020年5月25号审核前完成计量。</w:t>
            </w:r>
          </w:p>
          <w:p w:rsidR="00CC18D5" w:rsidRPr="004145C2" w:rsidRDefault="00033100" w:rsidP="004145C2">
            <w:pPr>
              <w:spacing w:line="276" w:lineRule="auto"/>
              <w:ind w:firstLineChars="200" w:firstLine="560"/>
              <w:rPr>
                <w:rFonts w:ascii="宋体" w:hAnsi="宋体"/>
                <w:szCs w:val="21"/>
              </w:rPr>
            </w:pPr>
            <w:r w:rsidRPr="00E70CCA">
              <w:rPr>
                <w:rFonts w:ascii="宋体" w:hAnsi="宋体" w:hint="eastAsia"/>
                <w:sz w:val="28"/>
                <w:szCs w:val="28"/>
              </w:rPr>
              <w:t>费用明细：总计3140元</w:t>
            </w:r>
            <w:r w:rsidRPr="004145C2">
              <w:rPr>
                <w:rFonts w:ascii="宋体" w:hAnsi="宋体" w:hint="eastAsia"/>
                <w:szCs w:val="21"/>
              </w:rPr>
              <w:t>（其中：安路普昌平分公司</w:t>
            </w:r>
            <w:r w:rsidR="00E70CCA" w:rsidRPr="004145C2">
              <w:rPr>
                <w:rFonts w:ascii="宋体" w:hAnsi="宋体" w:hint="eastAsia"/>
                <w:szCs w:val="21"/>
              </w:rPr>
              <w:t>部分</w:t>
            </w:r>
            <w:r w:rsidRPr="004145C2">
              <w:rPr>
                <w:rFonts w:ascii="宋体" w:hAnsi="宋体" w:hint="eastAsia"/>
                <w:szCs w:val="21"/>
              </w:rPr>
              <w:t>2420元，安路普制造部</w:t>
            </w:r>
            <w:r w:rsidR="00E70CCA" w:rsidRPr="004145C2">
              <w:rPr>
                <w:rFonts w:ascii="宋体" w:hAnsi="宋体" w:hint="eastAsia"/>
                <w:szCs w:val="21"/>
              </w:rPr>
              <w:t>部分720元</w:t>
            </w:r>
            <w:r w:rsidRPr="004145C2">
              <w:rPr>
                <w:rFonts w:ascii="宋体" w:hAnsi="宋体" w:hint="eastAsia"/>
                <w:szCs w:val="21"/>
              </w:rPr>
              <w:t>）</w:t>
            </w:r>
          </w:p>
          <w:p w:rsidR="00CC18D5" w:rsidRPr="00E70CCA" w:rsidRDefault="00027C64">
            <w:pPr>
              <w:spacing w:line="276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E70CCA">
              <w:rPr>
                <w:rFonts w:ascii="宋体" w:hAnsi="宋体" w:hint="eastAsia"/>
                <w:sz w:val="28"/>
                <w:szCs w:val="28"/>
              </w:rPr>
              <w:t>1、安路普昌平分公司部分</w:t>
            </w:r>
          </w:p>
          <w:p w:rsidR="00CC18D5" w:rsidRPr="00E70CCA" w:rsidRDefault="00E70CCA" w:rsidP="00E70CCA"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70CCA">
              <w:rPr>
                <w:rFonts w:ascii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3386066" cy="2051628"/>
                  <wp:effectExtent l="19050" t="0" r="4834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008" cy="2051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8D5" w:rsidRPr="00E70CCA" w:rsidRDefault="00027C64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r w:rsidRPr="00E70CCA">
              <w:rPr>
                <w:rFonts w:ascii="宋体" w:hAnsi="宋体" w:hint="eastAsia"/>
                <w:sz w:val="28"/>
                <w:szCs w:val="28"/>
              </w:rPr>
              <w:t xml:space="preserve">    2、安路普制造部部分</w:t>
            </w:r>
          </w:p>
          <w:p w:rsidR="00CC18D5" w:rsidRDefault="00E70CCA" w:rsidP="00E70CCA"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3388445" cy="927349"/>
                  <wp:effectExtent l="19050" t="0" r="245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434" cy="927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6"/>
              <w:tblW w:w="10551" w:type="dxa"/>
              <w:tblLayout w:type="fixed"/>
              <w:tblLook w:val="04A0"/>
            </w:tblPr>
            <w:tblGrid>
              <w:gridCol w:w="3635"/>
              <w:gridCol w:w="3403"/>
              <w:gridCol w:w="3513"/>
            </w:tblGrid>
            <w:tr w:rsidR="00CC18D5">
              <w:trPr>
                <w:trHeight w:val="649"/>
              </w:trPr>
              <w:tc>
                <w:tcPr>
                  <w:tcW w:w="3635" w:type="dxa"/>
                </w:tcPr>
                <w:p w:rsidR="00CC18D5" w:rsidRDefault="00033100" w:rsidP="00EB5B54">
                  <w:pPr>
                    <w:spacing w:line="276" w:lineRule="auto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编制：</w:t>
                  </w:r>
                  <w:bookmarkStart w:id="0" w:name="_GoBack"/>
                  <w:bookmarkEnd w:id="0"/>
                  <w:r w:rsidR="00EB5B54">
                    <w:rPr>
                      <w:rFonts w:ascii="宋体" w:hAnsi="宋体" w:hint="eastAsia"/>
                      <w:sz w:val="28"/>
                      <w:szCs w:val="28"/>
                    </w:rPr>
                    <w:t>姚明阳</w:t>
                  </w:r>
                  <w:r w:rsidR="00EB5B54">
                    <w:rPr>
                      <w:rFonts w:ascii="宋体" w:hAnsi="宋体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403" w:type="dxa"/>
                </w:tcPr>
                <w:p w:rsidR="00CC18D5" w:rsidRDefault="00033100">
                  <w:pPr>
                    <w:spacing w:line="276" w:lineRule="auto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审核：</w:t>
                  </w:r>
                </w:p>
              </w:tc>
              <w:tc>
                <w:tcPr>
                  <w:tcW w:w="3513" w:type="dxa"/>
                </w:tcPr>
                <w:p w:rsidR="00CC18D5" w:rsidRDefault="00033100">
                  <w:pPr>
                    <w:spacing w:line="276" w:lineRule="auto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批准</w:t>
                  </w:r>
                </w:p>
              </w:tc>
            </w:tr>
          </w:tbl>
          <w:p w:rsidR="00CC18D5" w:rsidRDefault="00CC18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C18D5" w:rsidRDefault="00CC18D5">
      <w:pPr>
        <w:rPr>
          <w:sz w:val="24"/>
        </w:rPr>
      </w:pPr>
    </w:p>
    <w:sectPr w:rsidR="00CC18D5" w:rsidSect="00CC18D5"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3D1" w:rsidRDefault="000C73D1" w:rsidP="00C91A61">
      <w:r>
        <w:separator/>
      </w:r>
    </w:p>
  </w:endnote>
  <w:endnote w:type="continuationSeparator" w:id="1">
    <w:p w:rsidR="000C73D1" w:rsidRDefault="000C73D1" w:rsidP="00C91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3D1" w:rsidRDefault="000C73D1" w:rsidP="00C91A61">
      <w:r>
        <w:separator/>
      </w:r>
    </w:p>
  </w:footnote>
  <w:footnote w:type="continuationSeparator" w:id="1">
    <w:p w:rsidR="000C73D1" w:rsidRDefault="000C73D1" w:rsidP="00C91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6B7"/>
    <w:rsid w:val="00002BE1"/>
    <w:rsid w:val="00006B45"/>
    <w:rsid w:val="00011A1A"/>
    <w:rsid w:val="00012FE0"/>
    <w:rsid w:val="0002345A"/>
    <w:rsid w:val="00025A6D"/>
    <w:rsid w:val="00027C64"/>
    <w:rsid w:val="00033100"/>
    <w:rsid w:val="0003413F"/>
    <w:rsid w:val="000362FF"/>
    <w:rsid w:val="00040175"/>
    <w:rsid w:val="00042A3E"/>
    <w:rsid w:val="000431EA"/>
    <w:rsid w:val="00050E5F"/>
    <w:rsid w:val="00051496"/>
    <w:rsid w:val="00054106"/>
    <w:rsid w:val="00064747"/>
    <w:rsid w:val="00065C23"/>
    <w:rsid w:val="0006717D"/>
    <w:rsid w:val="00072CB6"/>
    <w:rsid w:val="00082819"/>
    <w:rsid w:val="00083259"/>
    <w:rsid w:val="00090DCA"/>
    <w:rsid w:val="00096E3F"/>
    <w:rsid w:val="000C73D1"/>
    <w:rsid w:val="000D022A"/>
    <w:rsid w:val="000E5EA8"/>
    <w:rsid w:val="000F059B"/>
    <w:rsid w:val="000F3CE4"/>
    <w:rsid w:val="000F4CF7"/>
    <w:rsid w:val="001105E6"/>
    <w:rsid w:val="001115CF"/>
    <w:rsid w:val="001228CE"/>
    <w:rsid w:val="00127D82"/>
    <w:rsid w:val="001314B7"/>
    <w:rsid w:val="00131839"/>
    <w:rsid w:val="00135E4F"/>
    <w:rsid w:val="0014416A"/>
    <w:rsid w:val="001705E6"/>
    <w:rsid w:val="00180165"/>
    <w:rsid w:val="001943E7"/>
    <w:rsid w:val="001B167C"/>
    <w:rsid w:val="001D0E2D"/>
    <w:rsid w:val="001F2FF0"/>
    <w:rsid w:val="00206B24"/>
    <w:rsid w:val="00215AA5"/>
    <w:rsid w:val="0022441E"/>
    <w:rsid w:val="002251AB"/>
    <w:rsid w:val="00227115"/>
    <w:rsid w:val="00233F35"/>
    <w:rsid w:val="00245E8E"/>
    <w:rsid w:val="0024677E"/>
    <w:rsid w:val="00250334"/>
    <w:rsid w:val="00250345"/>
    <w:rsid w:val="00251BB4"/>
    <w:rsid w:val="00260B50"/>
    <w:rsid w:val="002810AC"/>
    <w:rsid w:val="00284ED3"/>
    <w:rsid w:val="002A27F8"/>
    <w:rsid w:val="002A5352"/>
    <w:rsid w:val="002A5FD0"/>
    <w:rsid w:val="002A71CB"/>
    <w:rsid w:val="002B6277"/>
    <w:rsid w:val="002B72C2"/>
    <w:rsid w:val="002D51A4"/>
    <w:rsid w:val="002D579D"/>
    <w:rsid w:val="002E2F62"/>
    <w:rsid w:val="002E3D7E"/>
    <w:rsid w:val="002F34B3"/>
    <w:rsid w:val="0030202E"/>
    <w:rsid w:val="00304531"/>
    <w:rsid w:val="00305D5B"/>
    <w:rsid w:val="00307B10"/>
    <w:rsid w:val="003215F8"/>
    <w:rsid w:val="0033277A"/>
    <w:rsid w:val="00340410"/>
    <w:rsid w:val="00346ABD"/>
    <w:rsid w:val="00350228"/>
    <w:rsid w:val="003562F3"/>
    <w:rsid w:val="003729D4"/>
    <w:rsid w:val="00391594"/>
    <w:rsid w:val="003A189C"/>
    <w:rsid w:val="003A3FBA"/>
    <w:rsid w:val="003A7018"/>
    <w:rsid w:val="003C74B9"/>
    <w:rsid w:val="003D47FB"/>
    <w:rsid w:val="003D67C4"/>
    <w:rsid w:val="003E2A0D"/>
    <w:rsid w:val="00407D79"/>
    <w:rsid w:val="004145C2"/>
    <w:rsid w:val="00420DB0"/>
    <w:rsid w:val="004249E4"/>
    <w:rsid w:val="004269CC"/>
    <w:rsid w:val="00426D66"/>
    <w:rsid w:val="00435D7B"/>
    <w:rsid w:val="0043795C"/>
    <w:rsid w:val="004542C2"/>
    <w:rsid w:val="00454F69"/>
    <w:rsid w:val="004632C4"/>
    <w:rsid w:val="00465B82"/>
    <w:rsid w:val="00472E21"/>
    <w:rsid w:val="0048433C"/>
    <w:rsid w:val="004847F3"/>
    <w:rsid w:val="00484C82"/>
    <w:rsid w:val="004903EC"/>
    <w:rsid w:val="004958CD"/>
    <w:rsid w:val="0049627F"/>
    <w:rsid w:val="00497B14"/>
    <w:rsid w:val="004A41DB"/>
    <w:rsid w:val="004C1A00"/>
    <w:rsid w:val="004C52FF"/>
    <w:rsid w:val="004D4AF7"/>
    <w:rsid w:val="004E2857"/>
    <w:rsid w:val="004E7A63"/>
    <w:rsid w:val="005014B9"/>
    <w:rsid w:val="00502E4F"/>
    <w:rsid w:val="00530C31"/>
    <w:rsid w:val="005330DE"/>
    <w:rsid w:val="00537731"/>
    <w:rsid w:val="00540390"/>
    <w:rsid w:val="00540965"/>
    <w:rsid w:val="005505C5"/>
    <w:rsid w:val="005509D8"/>
    <w:rsid w:val="00551557"/>
    <w:rsid w:val="00552A8F"/>
    <w:rsid w:val="00552E73"/>
    <w:rsid w:val="005564C5"/>
    <w:rsid w:val="005565B8"/>
    <w:rsid w:val="0056318C"/>
    <w:rsid w:val="00564F7D"/>
    <w:rsid w:val="0058024B"/>
    <w:rsid w:val="0058736C"/>
    <w:rsid w:val="005A1CA8"/>
    <w:rsid w:val="005A1DFA"/>
    <w:rsid w:val="005A279F"/>
    <w:rsid w:val="005B2618"/>
    <w:rsid w:val="005B3365"/>
    <w:rsid w:val="005B43EE"/>
    <w:rsid w:val="005B618E"/>
    <w:rsid w:val="005B6688"/>
    <w:rsid w:val="005C086E"/>
    <w:rsid w:val="005C25A2"/>
    <w:rsid w:val="005C38C6"/>
    <w:rsid w:val="005C5406"/>
    <w:rsid w:val="005D264B"/>
    <w:rsid w:val="005E2966"/>
    <w:rsid w:val="005E6511"/>
    <w:rsid w:val="005F37B9"/>
    <w:rsid w:val="005F5F62"/>
    <w:rsid w:val="006047BC"/>
    <w:rsid w:val="006137F7"/>
    <w:rsid w:val="006172C4"/>
    <w:rsid w:val="00621908"/>
    <w:rsid w:val="00626211"/>
    <w:rsid w:val="00637DCD"/>
    <w:rsid w:val="00660A7C"/>
    <w:rsid w:val="0066149C"/>
    <w:rsid w:val="0066347E"/>
    <w:rsid w:val="006855C2"/>
    <w:rsid w:val="00690D6B"/>
    <w:rsid w:val="00691D92"/>
    <w:rsid w:val="00695B6F"/>
    <w:rsid w:val="006A5296"/>
    <w:rsid w:val="006B040A"/>
    <w:rsid w:val="006B6A56"/>
    <w:rsid w:val="006E55CD"/>
    <w:rsid w:val="006F2C40"/>
    <w:rsid w:val="006F65F4"/>
    <w:rsid w:val="00702FE6"/>
    <w:rsid w:val="007155F7"/>
    <w:rsid w:val="00726823"/>
    <w:rsid w:val="00727751"/>
    <w:rsid w:val="00731E99"/>
    <w:rsid w:val="0074451C"/>
    <w:rsid w:val="00763D4D"/>
    <w:rsid w:val="00774F09"/>
    <w:rsid w:val="00775942"/>
    <w:rsid w:val="00793628"/>
    <w:rsid w:val="007950BE"/>
    <w:rsid w:val="007C18F3"/>
    <w:rsid w:val="007C4E9A"/>
    <w:rsid w:val="007E470E"/>
    <w:rsid w:val="007F26F6"/>
    <w:rsid w:val="007F7B26"/>
    <w:rsid w:val="0080250A"/>
    <w:rsid w:val="00803012"/>
    <w:rsid w:val="00813DF2"/>
    <w:rsid w:val="00820EBF"/>
    <w:rsid w:val="00837069"/>
    <w:rsid w:val="008377AB"/>
    <w:rsid w:val="008403AD"/>
    <w:rsid w:val="00860031"/>
    <w:rsid w:val="008601C4"/>
    <w:rsid w:val="008647B4"/>
    <w:rsid w:val="00864A18"/>
    <w:rsid w:val="00871DEB"/>
    <w:rsid w:val="00880D73"/>
    <w:rsid w:val="00880DF8"/>
    <w:rsid w:val="00884344"/>
    <w:rsid w:val="00885478"/>
    <w:rsid w:val="008904A7"/>
    <w:rsid w:val="00897DA6"/>
    <w:rsid w:val="008A06BB"/>
    <w:rsid w:val="008A26CE"/>
    <w:rsid w:val="008A3483"/>
    <w:rsid w:val="008A70DB"/>
    <w:rsid w:val="008C1945"/>
    <w:rsid w:val="008C5A63"/>
    <w:rsid w:val="008D2A99"/>
    <w:rsid w:val="008F53B0"/>
    <w:rsid w:val="009011AA"/>
    <w:rsid w:val="009028F3"/>
    <w:rsid w:val="00906CC4"/>
    <w:rsid w:val="00917656"/>
    <w:rsid w:val="009206A8"/>
    <w:rsid w:val="00921AFD"/>
    <w:rsid w:val="00926E71"/>
    <w:rsid w:val="009274B7"/>
    <w:rsid w:val="00930718"/>
    <w:rsid w:val="00932D81"/>
    <w:rsid w:val="00945F45"/>
    <w:rsid w:val="009463C1"/>
    <w:rsid w:val="009557D2"/>
    <w:rsid w:val="00957FFB"/>
    <w:rsid w:val="00961CAA"/>
    <w:rsid w:val="00964404"/>
    <w:rsid w:val="00971905"/>
    <w:rsid w:val="00981439"/>
    <w:rsid w:val="00986AAB"/>
    <w:rsid w:val="009B2F2E"/>
    <w:rsid w:val="009B47E1"/>
    <w:rsid w:val="009C21C0"/>
    <w:rsid w:val="009C419B"/>
    <w:rsid w:val="009C453F"/>
    <w:rsid w:val="009D1365"/>
    <w:rsid w:val="009E5BFB"/>
    <w:rsid w:val="009E720E"/>
    <w:rsid w:val="009E7324"/>
    <w:rsid w:val="009F2AA0"/>
    <w:rsid w:val="009F75AD"/>
    <w:rsid w:val="00A03AE5"/>
    <w:rsid w:val="00A04AA3"/>
    <w:rsid w:val="00A157AB"/>
    <w:rsid w:val="00A20019"/>
    <w:rsid w:val="00A27092"/>
    <w:rsid w:val="00A32EF9"/>
    <w:rsid w:val="00A40FE3"/>
    <w:rsid w:val="00A57F21"/>
    <w:rsid w:val="00A729A2"/>
    <w:rsid w:val="00A72C1C"/>
    <w:rsid w:val="00A75E4E"/>
    <w:rsid w:val="00AB3D48"/>
    <w:rsid w:val="00AC07BD"/>
    <w:rsid w:val="00AD4EAF"/>
    <w:rsid w:val="00AD59A5"/>
    <w:rsid w:val="00AE33FC"/>
    <w:rsid w:val="00AF2B56"/>
    <w:rsid w:val="00AF5930"/>
    <w:rsid w:val="00B01AF4"/>
    <w:rsid w:val="00B075D9"/>
    <w:rsid w:val="00B12F09"/>
    <w:rsid w:val="00B154A1"/>
    <w:rsid w:val="00B3773B"/>
    <w:rsid w:val="00B40B06"/>
    <w:rsid w:val="00B54F48"/>
    <w:rsid w:val="00B56558"/>
    <w:rsid w:val="00B60FF3"/>
    <w:rsid w:val="00B6137F"/>
    <w:rsid w:val="00B6471C"/>
    <w:rsid w:val="00B711EC"/>
    <w:rsid w:val="00B7329A"/>
    <w:rsid w:val="00B747A8"/>
    <w:rsid w:val="00B75B9A"/>
    <w:rsid w:val="00B75C25"/>
    <w:rsid w:val="00B91795"/>
    <w:rsid w:val="00B922FC"/>
    <w:rsid w:val="00B962CC"/>
    <w:rsid w:val="00BA0FBB"/>
    <w:rsid w:val="00BA18D7"/>
    <w:rsid w:val="00BA5BB4"/>
    <w:rsid w:val="00BA6E9D"/>
    <w:rsid w:val="00BB49EA"/>
    <w:rsid w:val="00BC2C74"/>
    <w:rsid w:val="00BE0904"/>
    <w:rsid w:val="00BE47E0"/>
    <w:rsid w:val="00BF2080"/>
    <w:rsid w:val="00BF3DA1"/>
    <w:rsid w:val="00BF63CF"/>
    <w:rsid w:val="00C06968"/>
    <w:rsid w:val="00C15EB4"/>
    <w:rsid w:val="00C17608"/>
    <w:rsid w:val="00C20BA4"/>
    <w:rsid w:val="00C22EEE"/>
    <w:rsid w:val="00C23A14"/>
    <w:rsid w:val="00C31E86"/>
    <w:rsid w:val="00C34624"/>
    <w:rsid w:val="00C618A1"/>
    <w:rsid w:val="00C64495"/>
    <w:rsid w:val="00C77EC0"/>
    <w:rsid w:val="00C80C18"/>
    <w:rsid w:val="00C81406"/>
    <w:rsid w:val="00C9009C"/>
    <w:rsid w:val="00C91A61"/>
    <w:rsid w:val="00CA04EB"/>
    <w:rsid w:val="00CA71FC"/>
    <w:rsid w:val="00CB3795"/>
    <w:rsid w:val="00CC083C"/>
    <w:rsid w:val="00CC18D5"/>
    <w:rsid w:val="00CC1AE4"/>
    <w:rsid w:val="00CC22C8"/>
    <w:rsid w:val="00CC2E29"/>
    <w:rsid w:val="00CE1D10"/>
    <w:rsid w:val="00CF3C35"/>
    <w:rsid w:val="00CF4B3C"/>
    <w:rsid w:val="00CF542D"/>
    <w:rsid w:val="00CF6A6B"/>
    <w:rsid w:val="00D076B7"/>
    <w:rsid w:val="00D14E2C"/>
    <w:rsid w:val="00D16D87"/>
    <w:rsid w:val="00D228FD"/>
    <w:rsid w:val="00D33979"/>
    <w:rsid w:val="00D35357"/>
    <w:rsid w:val="00D423B7"/>
    <w:rsid w:val="00D4429A"/>
    <w:rsid w:val="00D46FD3"/>
    <w:rsid w:val="00D5546A"/>
    <w:rsid w:val="00D623C5"/>
    <w:rsid w:val="00D6751F"/>
    <w:rsid w:val="00D84FEA"/>
    <w:rsid w:val="00D90EB8"/>
    <w:rsid w:val="00D91640"/>
    <w:rsid w:val="00DD2AE2"/>
    <w:rsid w:val="00DD4F56"/>
    <w:rsid w:val="00DE369B"/>
    <w:rsid w:val="00DE64E1"/>
    <w:rsid w:val="00DE6BBC"/>
    <w:rsid w:val="00DF157D"/>
    <w:rsid w:val="00DF2A77"/>
    <w:rsid w:val="00DF3C6C"/>
    <w:rsid w:val="00E01204"/>
    <w:rsid w:val="00E06E2A"/>
    <w:rsid w:val="00E100BD"/>
    <w:rsid w:val="00E14005"/>
    <w:rsid w:val="00E171D4"/>
    <w:rsid w:val="00E175D1"/>
    <w:rsid w:val="00E21769"/>
    <w:rsid w:val="00E3494C"/>
    <w:rsid w:val="00E377B9"/>
    <w:rsid w:val="00E47A13"/>
    <w:rsid w:val="00E52E42"/>
    <w:rsid w:val="00E539A4"/>
    <w:rsid w:val="00E56F87"/>
    <w:rsid w:val="00E62B22"/>
    <w:rsid w:val="00E654E3"/>
    <w:rsid w:val="00E70CCA"/>
    <w:rsid w:val="00E75AD1"/>
    <w:rsid w:val="00E84188"/>
    <w:rsid w:val="00E84594"/>
    <w:rsid w:val="00E9267F"/>
    <w:rsid w:val="00E93E81"/>
    <w:rsid w:val="00E97586"/>
    <w:rsid w:val="00E97B4A"/>
    <w:rsid w:val="00EA4EC7"/>
    <w:rsid w:val="00EB2160"/>
    <w:rsid w:val="00EB5B54"/>
    <w:rsid w:val="00EB7BF4"/>
    <w:rsid w:val="00ED6CE5"/>
    <w:rsid w:val="00EE125D"/>
    <w:rsid w:val="00EE292E"/>
    <w:rsid w:val="00EE529B"/>
    <w:rsid w:val="00F20899"/>
    <w:rsid w:val="00F26B21"/>
    <w:rsid w:val="00F300E4"/>
    <w:rsid w:val="00F533CC"/>
    <w:rsid w:val="00F53EAC"/>
    <w:rsid w:val="00F613E3"/>
    <w:rsid w:val="00F6382C"/>
    <w:rsid w:val="00F66723"/>
    <w:rsid w:val="00F8095E"/>
    <w:rsid w:val="00F8678A"/>
    <w:rsid w:val="00F9369A"/>
    <w:rsid w:val="00FA2C84"/>
    <w:rsid w:val="00FB3925"/>
    <w:rsid w:val="00FB3FF3"/>
    <w:rsid w:val="00FC031E"/>
    <w:rsid w:val="00FC79FB"/>
    <w:rsid w:val="00FD258A"/>
    <w:rsid w:val="00FE3A14"/>
    <w:rsid w:val="00FE4397"/>
    <w:rsid w:val="00FE46B1"/>
    <w:rsid w:val="00FE4E2E"/>
    <w:rsid w:val="00FE4E9A"/>
    <w:rsid w:val="00FE6EC4"/>
    <w:rsid w:val="00FF446D"/>
    <w:rsid w:val="02E801BF"/>
    <w:rsid w:val="0BCC43FB"/>
    <w:rsid w:val="0CA111B4"/>
    <w:rsid w:val="5A6D0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8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CC18D5"/>
    <w:rPr>
      <w:sz w:val="18"/>
      <w:szCs w:val="18"/>
    </w:rPr>
  </w:style>
  <w:style w:type="paragraph" w:styleId="a4">
    <w:name w:val="footer"/>
    <w:basedOn w:val="a"/>
    <w:link w:val="Char"/>
    <w:qFormat/>
    <w:rsid w:val="00CC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C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C18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sid w:val="00CC18D5"/>
    <w:rPr>
      <w:color w:val="800080"/>
      <w:u w:val="single"/>
    </w:rPr>
  </w:style>
  <w:style w:type="character" w:styleId="a8">
    <w:name w:val="Hyperlink"/>
    <w:basedOn w:val="a0"/>
    <w:qFormat/>
    <w:rsid w:val="00CC18D5"/>
    <w:rPr>
      <w:color w:val="0000FF"/>
      <w:u w:val="single"/>
    </w:rPr>
  </w:style>
  <w:style w:type="character" w:customStyle="1" w:styleId="Char">
    <w:name w:val="页脚 Char"/>
    <w:basedOn w:val="a0"/>
    <w:link w:val="a4"/>
    <w:qFormat/>
    <w:rsid w:val="00CC18D5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C18D5"/>
    <w:pPr>
      <w:ind w:firstLineChars="200" w:firstLine="420"/>
    </w:pPr>
  </w:style>
  <w:style w:type="character" w:customStyle="1" w:styleId="1">
    <w:name w:val="明显强调1"/>
    <w:basedOn w:val="a0"/>
    <w:uiPriority w:val="21"/>
    <w:qFormat/>
    <w:rsid w:val="00CC18D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381</Characters>
  <Application>Microsoft Office Word</Application>
  <DocSecurity>0</DocSecurity>
  <Lines>3</Lines>
  <Paragraphs>1</Paragraphs>
  <ScaleCrop>false</ScaleCrop>
  <Company>北京光华荣昌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Senbowe</cp:lastModifiedBy>
  <cp:revision>13</cp:revision>
  <cp:lastPrinted>2018-04-23T09:09:00Z</cp:lastPrinted>
  <dcterms:created xsi:type="dcterms:W3CDTF">2020-07-10T07:33:00Z</dcterms:created>
  <dcterms:modified xsi:type="dcterms:W3CDTF">2020-07-10T08:01:00Z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