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031" w:type="dxa"/>
          </w:tcPr>
          <w:tbl>
            <w:tblPr>
              <w:tblStyle w:val="5"/>
              <w:tblW w:w="10031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3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13" w:hRule="atLeast"/>
              </w:trPr>
              <w:tc>
                <w:tcPr>
                  <w:tcW w:w="10031" w:type="dxa"/>
                </w:tcPr>
                <w:p>
                  <w:pPr>
                    <w:ind w:firstLine="3200" w:firstLineChars="1000"/>
                    <w:rPr>
                      <w:rFonts w:hint="eastAsia"/>
                      <w:sz w:val="32"/>
                      <w:szCs w:val="32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z w:val="32"/>
                      <w:szCs w:val="32"/>
                      <w:lang w:val="en-US" w:eastAsia="zh-CN"/>
                    </w:rPr>
                    <w:t>市内车辆票据明细</w:t>
                  </w:r>
                </w:p>
                <w:p>
                  <w:pPr>
                    <w:bidi w:val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  <w:tbl>
                  <w:tblPr>
                    <w:tblStyle w:val="6"/>
                    <w:tblpPr w:leftFromText="180" w:rightFromText="180" w:vertAnchor="text" w:tblpX="595" w:tblpY="109"/>
                    <w:tblOverlap w:val="never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687"/>
                    <w:gridCol w:w="2033"/>
                    <w:gridCol w:w="1450"/>
                    <w:gridCol w:w="1500"/>
                    <w:gridCol w:w="317"/>
                    <w:gridCol w:w="933"/>
                    <w:gridCol w:w="748"/>
                    <w:gridCol w:w="1200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序号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发票号码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出发地址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到达地址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日期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金额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合计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31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00538298·00250738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重庆机场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重庆北碚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both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7月20地铁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15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01067265·01067267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重庆北碚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银翔汽车厂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7月21公交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3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09946256·09946257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银翔汽车厂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重庆北碚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7月21公交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09956330·09956329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重庆北碚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银翔汽车厂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7月21公交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5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00312370·00070870·00070871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银翔汽车厂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重庆北碚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7月21公交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6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09956328·09956331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重庆北碚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重庆渝北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7月21公交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00000763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重庆渝北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住宿宾馆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7月21公交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8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82975950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住宿宾馆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上汽红岩厂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7月22出租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25.81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9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03187118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红岩汽车厂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到银翔技术楼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7月22出租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36.30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05085656·05085657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到银翔技术楼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重庆龙头寺汽车站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7月22城际客车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10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11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01067266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重庆龙头寺汽车站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重庆火车站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7月22地铁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12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01654481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湖南火车站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星沙一桥</w:t>
                        </w:r>
                      </w:p>
                    </w:tc>
                    <w:tc>
                      <w:tcPr>
                        <w:tcW w:w="1250" w:type="dxa"/>
                        <w:gridSpan w:val="2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7月23公交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13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69877423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星沙一桥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长沙南站</w:t>
                        </w:r>
                      </w:p>
                    </w:tc>
                    <w:tc>
                      <w:tcPr>
                        <w:tcW w:w="317" w:type="dxa"/>
                        <w:tcBorders>
                          <w:right w:val="nil"/>
                        </w:tcBorders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nil"/>
                        </w:tcBorders>
                      </w:tcPr>
                      <w:p>
                        <w:pPr>
                          <w:bidi w:val="0"/>
                          <w:jc w:val="both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7月26出租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22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14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56457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石家庄火车站</w:t>
                        </w: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白佛汽车站</w:t>
                        </w:r>
                      </w:p>
                    </w:tc>
                    <w:tc>
                      <w:tcPr>
                        <w:tcW w:w="317" w:type="dxa"/>
                        <w:tcBorders>
                          <w:right w:val="nil"/>
                        </w:tcBorders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bidi w:val="0"/>
                          <w:jc w:val="both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7月26公交</w:t>
                        </w: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2</w:t>
                        </w: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3" w:hRule="atLeast"/>
                    </w:trPr>
                    <w:tc>
                      <w:tcPr>
                        <w:tcW w:w="687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14</w:t>
                        </w:r>
                      </w:p>
                    </w:tc>
                    <w:tc>
                      <w:tcPr>
                        <w:tcW w:w="2033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5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right w:val="nil"/>
                        </w:tcBorders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933" w:type="dxa"/>
                        <w:tcBorders>
                          <w:left w:val="nil"/>
                        </w:tcBorders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748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</w:p>
                    </w:tc>
                    <w:tc>
                      <w:tcPr>
                        <w:tcW w:w="1200" w:type="dxa"/>
                      </w:tcPr>
                      <w:p>
                        <w:pPr>
                          <w:bidi w:val="0"/>
                          <w:jc w:val="center"/>
                          <w:rPr>
                            <w:rFonts w:hint="default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vertAlign w:val="baseline"/>
                            <w:lang w:val="en-US" w:eastAsia="zh-CN"/>
                          </w:rPr>
                          <w:t>136.11</w:t>
                        </w:r>
                      </w:p>
                    </w:tc>
                  </w:tr>
                </w:tbl>
                <w:p>
                  <w:pPr>
                    <w:bidi w:val="0"/>
                    <w:ind w:firstLine="203" w:firstLineChars="0"/>
                    <w:jc w:val="left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rFonts w:hint="default"/>
                      <w:lang w:val="en-US" w:eastAsia="zh-CN"/>
                    </w:rPr>
                  </w:pPr>
                </w:p>
                <w:p>
                  <w:pPr>
                    <w:tabs>
                      <w:tab w:val="left" w:pos="1436"/>
                    </w:tabs>
                    <w:bidi w:val="0"/>
                    <w:jc w:val="left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ab/>
                  </w:r>
                  <w:r>
                    <w:rPr>
                      <w:rFonts w:hint="eastAsia"/>
                      <w:lang w:val="en-US" w:eastAsia="zh-CN"/>
                    </w:rPr>
                    <w:t>以上我出差市内车票明细</w:t>
                  </w:r>
                </w:p>
              </w:tc>
            </w:tr>
          </w:tbl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    </w:t>
      </w:r>
    </w:p>
    <w:p/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C6041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252A5"/>
    <w:rsid w:val="00131962"/>
    <w:rsid w:val="00136312"/>
    <w:rsid w:val="001439F5"/>
    <w:rsid w:val="001612BA"/>
    <w:rsid w:val="00162923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36F18"/>
    <w:rsid w:val="00240F82"/>
    <w:rsid w:val="0024665C"/>
    <w:rsid w:val="00253502"/>
    <w:rsid w:val="002634EE"/>
    <w:rsid w:val="00263FDF"/>
    <w:rsid w:val="00265A14"/>
    <w:rsid w:val="00267A34"/>
    <w:rsid w:val="0028371C"/>
    <w:rsid w:val="002A114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2640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0F96"/>
    <w:rsid w:val="00574AF3"/>
    <w:rsid w:val="00574AF8"/>
    <w:rsid w:val="00581704"/>
    <w:rsid w:val="00582308"/>
    <w:rsid w:val="00583593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5F5713"/>
    <w:rsid w:val="006068C7"/>
    <w:rsid w:val="0061263C"/>
    <w:rsid w:val="0061645D"/>
    <w:rsid w:val="006205DB"/>
    <w:rsid w:val="00635541"/>
    <w:rsid w:val="00637497"/>
    <w:rsid w:val="006378B8"/>
    <w:rsid w:val="00642A95"/>
    <w:rsid w:val="0065098D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B1ED9"/>
    <w:rsid w:val="006C1C0C"/>
    <w:rsid w:val="006C33A2"/>
    <w:rsid w:val="006C4513"/>
    <w:rsid w:val="006D0A9F"/>
    <w:rsid w:val="006D0F71"/>
    <w:rsid w:val="006D286B"/>
    <w:rsid w:val="006F3B1D"/>
    <w:rsid w:val="00705632"/>
    <w:rsid w:val="00707805"/>
    <w:rsid w:val="00715437"/>
    <w:rsid w:val="007303F3"/>
    <w:rsid w:val="007511FB"/>
    <w:rsid w:val="00751957"/>
    <w:rsid w:val="00751BB6"/>
    <w:rsid w:val="0075298A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36DC"/>
    <w:rsid w:val="00811FAA"/>
    <w:rsid w:val="00813596"/>
    <w:rsid w:val="008151A1"/>
    <w:rsid w:val="00835076"/>
    <w:rsid w:val="0084249C"/>
    <w:rsid w:val="0084419E"/>
    <w:rsid w:val="008519A6"/>
    <w:rsid w:val="00852C4B"/>
    <w:rsid w:val="0087003E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91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4F0E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D7D03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0200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87B44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26E1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1DD5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672BB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44C9D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B7918"/>
    <w:rsid w:val="00FC2DC3"/>
    <w:rsid w:val="00FC36DC"/>
    <w:rsid w:val="00FC694C"/>
    <w:rsid w:val="00FC6D09"/>
    <w:rsid w:val="00FC7654"/>
    <w:rsid w:val="00FF24E0"/>
    <w:rsid w:val="00FF7A5B"/>
    <w:rsid w:val="03A95121"/>
    <w:rsid w:val="0EAC5D55"/>
    <w:rsid w:val="193E2BF9"/>
    <w:rsid w:val="1DA42872"/>
    <w:rsid w:val="4A221C11"/>
    <w:rsid w:val="67B7051A"/>
    <w:rsid w:val="72677230"/>
    <w:rsid w:val="7C9F65B3"/>
    <w:rsid w:val="7F2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58FAE0-671B-4407-AE89-7D1A83A3DD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</Words>
  <Characters>434</Characters>
  <Lines>3</Lines>
  <Paragraphs>1</Paragraphs>
  <TotalTime>1</TotalTime>
  <ScaleCrop>false</ScaleCrop>
  <LinksUpToDate>false</LinksUpToDate>
  <CharactersWithSpaces>509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2018-08-13T06:52:00Z</cp:lastPrinted>
  <dcterms:modified xsi:type="dcterms:W3CDTF">2020-07-28T08:55:15Z</dcterms:modified>
  <dc:title>侯永旭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