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20" w:lineRule="exact"/>
      </w:pPr>
      <w:r>
        <w:rPr>
          <w:rFonts w:hint="eastAsia"/>
        </w:rPr>
        <w:drawing>
          <wp:anchor distT="0" distB="0" distL="114935" distR="114935" simplePos="0" relativeHeight="251660288" behindDoc="1" locked="0" layoutInCell="1" allowOverlap="1">
            <wp:simplePos x="0" y="0"/>
            <wp:positionH relativeFrom="column">
              <wp:posOffset>-953770</wp:posOffset>
            </wp:positionH>
            <wp:positionV relativeFrom="paragraph">
              <wp:posOffset>-710565</wp:posOffset>
            </wp:positionV>
            <wp:extent cx="7560310" cy="10692130"/>
            <wp:effectExtent l="0" t="0" r="2540" b="13970"/>
            <wp:wrapNone/>
            <wp:docPr id="6" name="图片 6" descr="1"/>
            <wp:cNvGraphicFramePr/>
            <a:graphic xmlns:a="http://schemas.openxmlformats.org/drawingml/2006/main">
              <a:graphicData uri="http://schemas.openxmlformats.org/drawingml/2006/picture">
                <pic:pic xmlns:pic="http://schemas.openxmlformats.org/drawingml/2006/picture">
                  <pic:nvPicPr>
                    <pic:cNvPr id="6" name="图片 6" descr="1"/>
                    <pic:cNvPicPr/>
                  </pic:nvPicPr>
                  <pic:blipFill>
                    <a:blip r:embed="rId14"/>
                    <a:stretch>
                      <a:fillRect/>
                    </a:stretch>
                  </pic:blipFill>
                  <pic:spPr>
                    <a:xfrm>
                      <a:off x="0" y="0"/>
                      <a:ext cx="7560310" cy="10692130"/>
                    </a:xfrm>
                    <a:prstGeom prst="rect">
                      <a:avLst/>
                    </a:prstGeom>
                  </pic:spPr>
                </pic:pic>
              </a:graphicData>
            </a:graphic>
          </wp:anchor>
        </w:drawing>
      </w:r>
      <w:r>
        <w:rPr>
          <w:rFonts w:ascii="宋体" w:hAnsi="宋体" w:eastAsia="宋体" w:cs="宋体"/>
          <w:b/>
          <w:bCs/>
          <w:kern w:val="0"/>
          <w:sz w:val="48"/>
          <w:szCs w:val="48"/>
        </w:rPr>
        <mc:AlternateContent>
          <mc:Choice Requires="wps">
            <w:drawing>
              <wp:anchor distT="0" distB="0" distL="114300" distR="114300" simplePos="0" relativeHeight="251659264" behindDoc="0" locked="0" layoutInCell="1" allowOverlap="1">
                <wp:simplePos x="0" y="0"/>
                <wp:positionH relativeFrom="column">
                  <wp:posOffset>3475990</wp:posOffset>
                </wp:positionH>
                <wp:positionV relativeFrom="paragraph">
                  <wp:posOffset>-9440545</wp:posOffset>
                </wp:positionV>
                <wp:extent cx="2868930" cy="467995"/>
                <wp:effectExtent l="0" t="0" r="7620" b="8255"/>
                <wp:wrapNone/>
                <wp:docPr id="13" name="文本框 4"/>
                <wp:cNvGraphicFramePr/>
                <a:graphic xmlns:a="http://schemas.openxmlformats.org/drawingml/2006/main">
                  <a:graphicData uri="http://schemas.microsoft.com/office/word/2010/wordprocessingShape">
                    <wps:wsp>
                      <wps:cNvSpPr txBox="1"/>
                      <wps:spPr>
                        <a:xfrm>
                          <a:off x="0" y="0"/>
                          <a:ext cx="2868930" cy="467995"/>
                        </a:xfrm>
                        <a:prstGeom prst="rect">
                          <a:avLst/>
                        </a:prstGeom>
                        <a:solidFill>
                          <a:srgbClr val="FFFFFF"/>
                        </a:solidFill>
                        <a:ln w="9525">
                          <a:noFill/>
                        </a:ln>
                        <a:effectLst/>
                      </wps:spPr>
                      <wps:txbx>
                        <w:txbxContent>
                          <w:p>
                            <w:pPr>
                              <w:ind w:firstLine="960" w:firstLineChars="300"/>
                              <w:rPr>
                                <w:sz w:val="32"/>
                                <w:szCs w:val="32"/>
                                <w:u w:val="single"/>
                              </w:rPr>
                            </w:pPr>
                            <w:r>
                              <w:rPr>
                                <w:rFonts w:hint="eastAsia"/>
                                <w:sz w:val="32"/>
                                <w:szCs w:val="32"/>
                                <w:u w:val="single"/>
                              </w:rPr>
                              <w:t xml:space="preserve">跨越速运2.0版本         </w:t>
                            </w:r>
                          </w:p>
                        </w:txbxContent>
                      </wps:txbx>
                      <wps:bodyPr upright="1"/>
                    </wps:wsp>
                  </a:graphicData>
                </a:graphic>
              </wp:anchor>
            </w:drawing>
          </mc:Choice>
          <mc:Fallback>
            <w:pict>
              <v:shape id="文本框 4" o:spid="_x0000_s1026" o:spt="202" type="#_x0000_t202" style="position:absolute;left:0pt;margin-left:273.7pt;margin-top:-743.35pt;height:36.85pt;width:225.9pt;z-index:251659264;mso-width-relative:page;mso-height-relative:page;" fillcolor="#FFFFFF" filled="t" stroked="f" coordsize="21600,21600" o:gfxdata="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9wTddsAAAAPAQAADwAAAAAAAAABACAAAAAiAAAAZHJzL2Rvd25yZXYueG1sUEsBAhQAFAAA&#10;AAgAh07iQKxsXuGzAQAAQQMAAA4AAAAAAAAAAQAgAAAAKgEAAGRycy9lMm9Eb2MueG1sUEsFBgAA&#10;AAAGAAYAWQEAAE8FAAAAAA==&#10;">
                <v:fill on="t" focussize="0,0"/>
                <v:stroke on="f"/>
                <v:imagedata o:title=""/>
                <o:lock v:ext="edit" aspectratio="f"/>
                <v:textbox>
                  <w:txbxContent>
                    <w:p>
                      <w:pPr>
                        <w:ind w:firstLine="960" w:firstLineChars="300"/>
                        <w:rPr>
                          <w:sz w:val="32"/>
                          <w:szCs w:val="32"/>
                          <w:u w:val="single"/>
                        </w:rPr>
                      </w:pPr>
                      <w:r>
                        <w:rPr>
                          <w:rFonts w:hint="eastAsia"/>
                          <w:sz w:val="32"/>
                          <w:szCs w:val="32"/>
                          <w:u w:val="single"/>
                        </w:rPr>
                        <w:t xml:space="preserve">跨越速运2.0版本         </w:t>
                      </w:r>
                    </w:p>
                  </w:txbxContent>
                </v:textbox>
              </v:shape>
            </w:pict>
          </mc:Fallback>
        </mc:AlternateContent>
      </w:r>
    </w:p>
    <w:p>
      <w:pPr>
        <w:tabs>
          <w:tab w:val="left" w:pos="825"/>
        </w:tabs>
        <w:jc w:val="left"/>
        <w:sectPr>
          <w:headerReference r:id="rId7" w:type="first"/>
          <w:headerReference r:id="rId5" w:type="default"/>
          <w:footerReference r:id="rId8" w:type="default"/>
          <w:headerReference r:id="rId6" w:type="even"/>
          <w:footerReference r:id="rId9" w:type="even"/>
          <w:pgSz w:w="11850" w:h="16783"/>
          <w:pgMar w:top="1077" w:right="907" w:bottom="1077" w:left="907" w:header="851" w:footer="992" w:gutter="567"/>
          <w:pgNumType w:start="1"/>
          <w:cols w:space="0" w:num="1"/>
          <w:titlePg/>
          <w:docGrid w:type="lines" w:linePitch="318" w:charSpace="0"/>
        </w:sectPr>
      </w:pPr>
    </w:p>
    <w:p>
      <w:pPr>
        <w:spacing w:line="360" w:lineRule="auto"/>
        <w:ind w:firstLine="960" w:firstLineChars="200"/>
        <w:jc w:val="center"/>
        <w:rPr>
          <w:rFonts w:ascii="宋体" w:hAnsi="宋体" w:eastAsia="宋体" w:cs="宋体"/>
          <w:sz w:val="48"/>
          <w:szCs w:val="48"/>
        </w:rPr>
      </w:pPr>
    </w:p>
    <w:p>
      <w:pPr>
        <w:spacing w:line="360" w:lineRule="auto"/>
        <w:ind w:firstLine="960" w:firstLineChars="200"/>
        <w:jc w:val="center"/>
        <w:rPr>
          <w:rFonts w:ascii="宋体" w:hAnsi="宋体" w:eastAsia="宋体" w:cs="宋体"/>
          <w:sz w:val="48"/>
          <w:szCs w:val="48"/>
        </w:rPr>
      </w:pPr>
      <w:r>
        <w:rPr>
          <w:rFonts w:hint="eastAsia" w:ascii="宋体" w:hAnsi="宋体" w:eastAsia="宋体" w:cs="宋体"/>
          <w:sz w:val="48"/>
          <w:szCs w:val="48"/>
        </w:rPr>
        <w:t>快递服务合同</w:t>
      </w:r>
    </w:p>
    <w:p>
      <w:pPr>
        <w:widowControl/>
        <w:shd w:val="clear" w:color="auto" w:fill="FFFFFF"/>
        <w:spacing w:line="560" w:lineRule="exact"/>
        <w:ind w:firstLine="482" w:firstLineChars="200"/>
        <w:rPr>
          <w:rFonts w:ascii="仿宋" w:hAnsi="仿宋" w:eastAsia="仿宋" w:cs="仿宋"/>
          <w:kern w:val="0"/>
          <w:sz w:val="24"/>
          <w:szCs w:val="24"/>
          <w:u w:val="single"/>
          <w:shd w:val="clear" w:color="auto" w:fill="FFFFFF"/>
        </w:rPr>
      </w:pPr>
      <w:commentRangeStart w:id="0"/>
      <w:r>
        <w:rPr>
          <w:rFonts w:hint="eastAsia" w:ascii="仿宋" w:hAnsi="仿宋" w:eastAsia="仿宋" w:cs="仿宋"/>
          <w:b/>
          <w:bCs/>
          <w:kern w:val="0"/>
          <w:sz w:val="24"/>
          <w:szCs w:val="24"/>
          <w:shd w:val="clear" w:color="auto" w:fill="FFFFFF"/>
        </w:rPr>
        <w:t>甲方（托运方）</w:t>
      </w:r>
      <w:r>
        <w:rPr>
          <w:rFonts w:hint="eastAsia" w:ascii="仿宋" w:hAnsi="仿宋" w:eastAsia="仿宋" w:cs="仿宋"/>
          <w:kern w:val="0"/>
          <w:sz w:val="24"/>
          <w:szCs w:val="24"/>
          <w:shd w:val="clear" w:color="auto" w:fill="FFFFFF"/>
        </w:rPr>
        <w:t>：</w:t>
      </w:r>
      <w:r>
        <w:rPr>
          <w:rFonts w:hint="eastAsia" w:ascii="仿宋" w:hAnsi="仿宋" w:eastAsia="仿宋" w:cs="仿宋"/>
          <w:kern w:val="0"/>
          <w:sz w:val="20"/>
          <w:szCs w:val="20"/>
          <w:u w:val="single"/>
          <w:shd w:val="clear" w:color="auto" w:fill="FFFFFF"/>
        </w:rPr>
        <w:t> </w:t>
      </w:r>
      <w:r>
        <w:rPr>
          <w:rFonts w:hint="eastAsia" w:ascii="微软雅黑" w:hAnsi="微软雅黑" w:eastAsia="微软雅黑" w:cs="微软雅黑"/>
          <w:color w:val="000000"/>
          <w:sz w:val="20"/>
          <w:szCs w:val="20"/>
          <w:u w:val="single"/>
          <w:shd w:val="clear" w:color="auto" w:fill="FFFFFF"/>
        </w:rPr>
        <w:t xml:space="preserve">                             </w:t>
      </w:r>
      <w:r>
        <w:rPr>
          <w:rFonts w:hint="eastAsia" w:ascii="仿宋" w:hAnsi="仿宋" w:eastAsia="仿宋" w:cs="仿宋"/>
          <w:kern w:val="0"/>
          <w:sz w:val="20"/>
          <w:szCs w:val="20"/>
          <w:u w:val="single"/>
          <w:shd w:val="clear" w:color="auto" w:fill="FFFFFF"/>
        </w:rPr>
        <w:t xml:space="preserve">                        </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u w:val="single"/>
        </w:rPr>
        <w:t> </w:t>
      </w:r>
      <w:r>
        <w:rPr>
          <w:rFonts w:hint="eastAsia" w:ascii="仿宋" w:hAnsi="仿宋" w:eastAsia="仿宋" w:cs="仿宋"/>
          <w:kern w:val="0"/>
          <w:sz w:val="24"/>
          <w:szCs w:val="24"/>
          <w:u w:val="single"/>
          <w:shd w:val="clear" w:color="auto" w:fill="FFFFFF"/>
        </w:rPr>
        <w:t> </w:t>
      </w:r>
    </w:p>
    <w:p>
      <w:pPr>
        <w:widowControl/>
        <w:shd w:val="clear" w:color="auto" w:fill="FFFFFF"/>
        <w:spacing w:line="560" w:lineRule="exact"/>
        <w:ind w:firstLine="482" w:firstLineChars="200"/>
        <w:rPr>
          <w:rFonts w:ascii="仿宋" w:hAnsi="仿宋" w:eastAsia="仿宋" w:cs="仿宋"/>
          <w:kern w:val="0"/>
          <w:sz w:val="24"/>
          <w:szCs w:val="24"/>
          <w:shd w:val="clear" w:color="auto" w:fill="FFFFFF"/>
        </w:rPr>
      </w:pPr>
      <w:bookmarkStart w:id="0" w:name="OLE_LINK1"/>
      <w:r>
        <w:rPr>
          <w:rFonts w:hint="eastAsia" w:ascii="仿宋" w:hAnsi="仿宋" w:eastAsia="仿宋" w:cs="仿宋"/>
          <w:b/>
          <w:bCs/>
          <w:kern w:val="0"/>
          <w:sz w:val="24"/>
          <w:szCs w:val="24"/>
          <w:shd w:val="clear" w:color="auto" w:fill="FFFFFF"/>
        </w:rPr>
        <w:t>注册地址</w:t>
      </w:r>
      <w:r>
        <w:rPr>
          <w:rFonts w:hint="eastAsia" w:ascii="仿宋" w:hAnsi="仿宋" w:eastAsia="仿宋" w:cs="仿宋"/>
          <w:kern w:val="0"/>
          <w:sz w:val="24"/>
          <w:szCs w:val="24"/>
          <w:shd w:val="clear" w:color="auto" w:fill="FFFFFF"/>
        </w:rPr>
        <w:t>：</w:t>
      </w:r>
      <w:r>
        <w:rPr>
          <w:rFonts w:hint="eastAsia" w:ascii="仿宋" w:hAnsi="仿宋" w:eastAsia="仿宋" w:cs="仿宋"/>
          <w:kern w:val="0"/>
          <w:sz w:val="24"/>
          <w:szCs w:val="24"/>
          <w:u w:val="single"/>
          <w:shd w:val="clear" w:color="auto" w:fill="FFFFFF"/>
        </w:rPr>
        <w:t>    </w:t>
      </w:r>
      <w:r>
        <w:rPr>
          <w:rFonts w:hint="eastAsia" w:ascii="仿宋" w:hAnsi="仿宋" w:eastAsia="仿宋" w:cs="仿宋"/>
          <w:kern w:val="0"/>
          <w:sz w:val="20"/>
          <w:szCs w:val="20"/>
          <w:u w:val="single"/>
          <w:shd w:val="clear" w:color="auto" w:fill="FFFFFF"/>
        </w:rPr>
        <w:t xml:space="preserve">                                                            </w:t>
      </w:r>
      <w:bookmarkEnd w:id="0"/>
    </w:p>
    <w:p>
      <w:pPr>
        <w:widowControl/>
        <w:shd w:val="clear" w:color="auto" w:fill="FFFFFF"/>
        <w:spacing w:line="560" w:lineRule="exact"/>
        <w:ind w:firstLine="482" w:firstLineChars="200"/>
        <w:jc w:val="left"/>
        <w:rPr>
          <w:rFonts w:ascii="仿宋" w:hAnsi="仿宋" w:eastAsia="仿宋" w:cs="仿宋"/>
          <w:kern w:val="0"/>
          <w:sz w:val="24"/>
          <w:szCs w:val="24"/>
          <w:u w:val="single"/>
        </w:rPr>
      </w:pPr>
      <w:r>
        <w:rPr>
          <w:rFonts w:hint="eastAsia" w:ascii="仿宋" w:hAnsi="仿宋" w:eastAsia="仿宋" w:cs="仿宋"/>
          <w:b/>
          <w:bCs/>
          <w:kern w:val="0"/>
          <w:sz w:val="24"/>
          <w:szCs w:val="24"/>
          <w:shd w:val="clear" w:color="auto" w:fill="FFFFFF"/>
        </w:rPr>
        <w:t>乙方（承运方）</w:t>
      </w:r>
      <w:r>
        <w:rPr>
          <w:rFonts w:hint="eastAsia" w:ascii="仿宋" w:hAnsi="仿宋" w:eastAsia="仿宋" w:cs="仿宋"/>
          <w:kern w:val="0"/>
          <w:sz w:val="24"/>
          <w:szCs w:val="24"/>
          <w:shd w:val="clear" w:color="auto" w:fill="FFFFFF"/>
        </w:rPr>
        <w:t>：</w:t>
      </w:r>
      <w:r>
        <w:rPr>
          <w:rFonts w:hint="eastAsia" w:ascii="仿宋" w:hAnsi="仿宋" w:eastAsia="仿宋" w:cs="仿宋"/>
          <w:kern w:val="0"/>
          <w:sz w:val="24"/>
          <w:szCs w:val="24"/>
          <w:u w:val="single"/>
          <w:shd w:val="clear" w:color="auto" w:fill="FFFFFF"/>
        </w:rPr>
        <w:t>   </w:t>
      </w:r>
      <w:r>
        <w:rPr>
          <w:rFonts w:hint="eastAsia" w:ascii="仿宋" w:hAnsi="仿宋" w:eastAsia="仿宋" w:cs="仿宋"/>
          <w:kern w:val="0"/>
          <w:sz w:val="20"/>
          <w:szCs w:val="20"/>
          <w:u w:val="single"/>
          <w:shd w:val="clear" w:color="auto" w:fill="FFFFFF"/>
        </w:rPr>
        <w:t xml:space="preserve">                                                </w:t>
      </w:r>
      <w:r>
        <w:rPr>
          <w:rFonts w:hint="eastAsia" w:ascii="仿宋" w:hAnsi="仿宋" w:eastAsia="仿宋" w:cs="仿宋"/>
          <w:kern w:val="0"/>
          <w:sz w:val="24"/>
          <w:szCs w:val="24"/>
          <w:u w:val="single"/>
          <w:shd w:val="clear" w:color="auto" w:fill="FFFFFF"/>
        </w:rPr>
        <w:t xml:space="preserve">   </w:t>
      </w:r>
    </w:p>
    <w:p>
      <w:pPr>
        <w:widowControl/>
        <w:shd w:val="clear" w:color="auto" w:fill="FFFFFF"/>
        <w:spacing w:line="560" w:lineRule="exact"/>
        <w:ind w:firstLine="482" w:firstLineChars="200"/>
        <w:rPr>
          <w:rFonts w:ascii="仿宋" w:hAnsi="仿宋" w:eastAsia="仿宋" w:cs="仿宋"/>
          <w:kern w:val="0"/>
          <w:sz w:val="24"/>
          <w:szCs w:val="24"/>
          <w:u w:val="single"/>
          <w:shd w:val="clear" w:color="auto" w:fill="FFFFFF"/>
        </w:rPr>
      </w:pPr>
      <w:r>
        <w:rPr>
          <w:rFonts w:hint="eastAsia" w:ascii="仿宋" w:hAnsi="仿宋" w:eastAsia="仿宋" w:cs="仿宋"/>
          <w:b/>
          <w:bCs/>
          <w:kern w:val="0"/>
          <w:sz w:val="24"/>
          <w:szCs w:val="24"/>
          <w:shd w:val="clear" w:color="auto" w:fill="FFFFFF"/>
        </w:rPr>
        <w:t>注册地址</w:t>
      </w:r>
      <w:r>
        <w:rPr>
          <w:rFonts w:hint="eastAsia" w:ascii="仿宋" w:hAnsi="仿宋" w:eastAsia="仿宋" w:cs="仿宋"/>
          <w:kern w:val="0"/>
          <w:sz w:val="24"/>
          <w:szCs w:val="24"/>
          <w:shd w:val="clear" w:color="auto" w:fill="FFFFFF"/>
        </w:rPr>
        <w:t>：</w:t>
      </w:r>
      <w:r>
        <w:rPr>
          <w:rFonts w:hint="eastAsia" w:ascii="仿宋" w:hAnsi="仿宋" w:eastAsia="仿宋" w:cs="仿宋"/>
          <w:kern w:val="0"/>
          <w:sz w:val="24"/>
          <w:szCs w:val="24"/>
          <w:u w:val="single"/>
          <w:shd w:val="clear" w:color="auto" w:fill="FFFFFF"/>
        </w:rPr>
        <w:t xml:space="preserve">                                                 </w:t>
      </w:r>
      <w:commentRangeEnd w:id="0"/>
      <w:r>
        <w:commentReference w:id="0"/>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w:t>
      </w:r>
    </w:p>
    <w:p>
      <w:pPr>
        <w:spacing w:line="360" w:lineRule="auto"/>
        <w:ind w:firstLine="480" w:firstLineChars="200"/>
        <w:rPr>
          <w:rFonts w:ascii="仿宋" w:hAnsi="仿宋" w:eastAsia="仿宋" w:cs="仿宋"/>
          <w:b/>
          <w:sz w:val="28"/>
          <w:szCs w:val="28"/>
          <w:u w:val="single"/>
        </w:rPr>
      </w:pPr>
      <w:r>
        <w:rPr>
          <w:rFonts w:hint="eastAsia" w:ascii="仿宋" w:hAnsi="仿宋" w:eastAsia="仿宋" w:cs="仿宋"/>
          <w:sz w:val="24"/>
          <w:szCs w:val="24"/>
        </w:rPr>
        <w:t>根据《中华人民共和国合同法》《中华人民共和国邮政法》等相关法律、法规，在平等、自愿、公平的基础上，甲乙双方就乙方为甲方提供国内货物快递服务之事宜签订本合同，以资双方共同遵守。</w:t>
      </w:r>
    </w:p>
    <w:p>
      <w:pPr>
        <w:spacing w:line="360" w:lineRule="auto"/>
        <w:ind w:firstLine="562" w:firstLineChars="200"/>
        <w:jc w:val="center"/>
        <w:rPr>
          <w:rFonts w:ascii="仿宋" w:hAnsi="仿宋" w:eastAsia="仿宋" w:cs="仿宋"/>
          <w:b/>
          <w:sz w:val="28"/>
          <w:szCs w:val="28"/>
          <w:u w:val="single"/>
        </w:rPr>
      </w:pPr>
      <w:r>
        <w:rPr>
          <w:rFonts w:hint="eastAsia" w:ascii="仿宋" w:hAnsi="仿宋" w:eastAsia="仿宋" w:cs="仿宋"/>
          <w:b/>
          <w:sz w:val="28"/>
          <w:szCs w:val="28"/>
          <w:u w:val="single"/>
        </w:rPr>
        <w:t>第一部分</w:t>
      </w:r>
    </w:p>
    <w:p>
      <w:pPr>
        <w:spacing w:line="360" w:lineRule="auto"/>
        <w:ind w:firstLine="562" w:firstLineChars="200"/>
        <w:jc w:val="center"/>
        <w:rPr>
          <w:rFonts w:ascii="仿宋" w:hAnsi="仿宋" w:eastAsia="仿宋" w:cs="仿宋"/>
          <w:b/>
          <w:sz w:val="28"/>
          <w:szCs w:val="28"/>
          <w:u w:val="single"/>
        </w:rPr>
      </w:pPr>
      <w:r>
        <w:rPr>
          <w:rFonts w:hint="eastAsia" w:ascii="仿宋" w:hAnsi="仿宋" w:eastAsia="仿宋" w:cs="仿宋"/>
          <w:b/>
          <w:sz w:val="28"/>
          <w:szCs w:val="28"/>
          <w:u w:val="single"/>
        </w:rPr>
        <w:t>基本条款</w:t>
      </w:r>
    </w:p>
    <w:p>
      <w:pPr>
        <w:spacing w:line="360" w:lineRule="auto"/>
        <w:ind w:firstLine="482" w:firstLineChars="200"/>
        <w:rPr>
          <w:rFonts w:ascii="仿宋" w:hAnsi="仿宋" w:eastAsia="仿宋" w:cs="仿宋"/>
          <w:b/>
          <w:bCs/>
          <w:kern w:val="0"/>
          <w:sz w:val="24"/>
          <w:szCs w:val="24"/>
          <w:shd w:val="clear" w:color="auto" w:fill="FFFFFF"/>
        </w:rPr>
      </w:pPr>
      <w:r>
        <w:rPr>
          <w:rFonts w:hint="eastAsia" w:ascii="仿宋" w:hAnsi="仿宋" w:eastAsia="仿宋" w:cs="仿宋"/>
          <w:b/>
          <w:bCs/>
          <w:kern w:val="0"/>
          <w:sz w:val="24"/>
          <w:szCs w:val="24"/>
          <w:shd w:val="clear" w:color="auto" w:fill="FFFFFF"/>
        </w:rPr>
        <w:t>一、合同主要构成</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1.1本合同正本及附件。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1.2甲方/甲方指定的托寄方/甲方指定的收件方签署的纸质运单和电子运单（以下简称运单）。</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1.3其他经过双方确认或者通过电子系统发出的具有合同性质的内容。</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二、 服务内容、区域及确认</w:t>
      </w:r>
    </w:p>
    <w:p>
      <w:pPr>
        <w:numPr>
          <w:ilvl w:val="255"/>
          <w:numId w:val="0"/>
        </w:numPr>
        <w:shd w:val="clear" w:color="auto" w:fill="FFFFFF"/>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本服务条款的物流服务特指：乙方按照甲乙双方的约定，将甲方的托寄物配送到指定地点。乙方提供的物流服务内容包括：装卸服务、实物配送、有效单据处理及管理。如甲方还需要乙方提供其他物流服务内容，将以附件的形式经甲乙双方协商确定后，附加于本服务条款，双方盖章确认后的附件与本服务条款具同等法律效力。</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2.2每单具体的服务方式以运单为准，甲方签署运单后双方确认新的服务方式的按照重新确认的服务方式执行；甲方可以选择签回单以及代收货款等增值服务。</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2.3服务确认：甲方可通过乙方全国服务热线95324、终端APP、乙方官网、或者直接联系乙方销售人员等途径下达托运指令；甲方应当如实填写运单信息。</w:t>
      </w:r>
    </w:p>
    <w:p>
      <w:pPr>
        <w:spacing w:line="360" w:lineRule="auto"/>
        <w:ind w:firstLine="482" w:firstLineChars="200"/>
        <w:rPr>
          <w:rFonts w:ascii="仿宋" w:hAnsi="仿宋" w:eastAsia="仿宋" w:cs="仿宋"/>
          <w:b/>
          <w:bCs/>
          <w:kern w:val="0"/>
          <w:sz w:val="24"/>
          <w:szCs w:val="24"/>
          <w:shd w:val="clear" w:color="auto" w:fill="FFFFFF"/>
        </w:rPr>
      </w:pPr>
      <w:r>
        <w:rPr>
          <w:rFonts w:hint="eastAsia" w:ascii="仿宋" w:hAnsi="仿宋" w:eastAsia="仿宋" w:cs="仿宋"/>
          <w:b/>
          <w:bCs/>
          <w:kern w:val="0"/>
          <w:sz w:val="24"/>
          <w:szCs w:val="24"/>
          <w:shd w:val="clear" w:color="auto" w:fill="FFFFFF"/>
        </w:rPr>
        <w:t xml:space="preserve"> 三、费用及结算方式</w:t>
      </w:r>
    </w:p>
    <w:p>
      <w:pPr>
        <w:spacing w:line="360" w:lineRule="auto"/>
        <w:ind w:firstLine="528" w:firstLineChars="200"/>
        <w:rPr>
          <w:rFonts w:ascii="仿宋" w:hAnsi="仿宋" w:eastAsia="仿宋" w:cs="仿宋"/>
          <w:spacing w:val="12"/>
          <w:sz w:val="24"/>
          <w:szCs w:val="24"/>
        </w:rPr>
      </w:pPr>
      <w:r>
        <w:rPr>
          <w:rFonts w:hint="eastAsia" w:ascii="仿宋" w:hAnsi="仿宋" w:eastAsia="仿宋" w:cs="仿宋"/>
          <w:spacing w:val="12"/>
          <w:sz w:val="24"/>
          <w:szCs w:val="24"/>
        </w:rPr>
        <w:t>3.1快递服务费（以下简称“服务费”）以甲乙双方签订的合同、《报价表》、《报价通知函》、运单、本合同标注的邮箱发送的对账单、开具发票确认的金额，以及全</w:t>
      </w:r>
    </w:p>
    <w:p>
      <w:pPr>
        <w:spacing w:line="360" w:lineRule="auto"/>
        <w:rPr>
          <w:rFonts w:ascii="仿宋" w:hAnsi="仿宋" w:eastAsia="仿宋" w:cs="仿宋"/>
          <w:spacing w:val="12"/>
          <w:sz w:val="24"/>
          <w:szCs w:val="24"/>
        </w:rPr>
      </w:pPr>
      <w:r>
        <w:rPr>
          <w:rFonts w:hint="eastAsia" w:ascii="仿宋" w:hAnsi="仿宋" w:eastAsia="仿宋" w:cs="仿宋"/>
          <w:spacing w:val="12"/>
          <w:sz w:val="24"/>
          <w:szCs w:val="24"/>
        </w:rPr>
        <w:t>国服务热线95324、终端APP、乙方官网公告等数据电文作为计收依据。</w:t>
      </w:r>
    </w:p>
    <w:p>
      <w:pPr>
        <w:spacing w:line="360" w:lineRule="auto"/>
        <w:ind w:firstLine="528" w:firstLineChars="200"/>
        <w:rPr>
          <w:rFonts w:ascii="仿宋" w:hAnsi="仿宋" w:eastAsia="仿宋" w:cs="仿宋"/>
          <w:spacing w:val="12"/>
          <w:sz w:val="24"/>
          <w:szCs w:val="24"/>
        </w:rPr>
      </w:pPr>
      <w:r>
        <w:rPr>
          <w:rFonts w:hint="eastAsia" w:ascii="仿宋" w:hAnsi="仿宋" w:eastAsia="仿宋" w:cs="仿宋"/>
          <w:spacing w:val="12"/>
          <w:sz w:val="24"/>
          <w:szCs w:val="24"/>
        </w:rPr>
        <w:t>3.2服务费计账周期：</w:t>
      </w:r>
      <w:commentRangeStart w:id="1"/>
      <w:r>
        <w:rPr>
          <w:rFonts w:hint="eastAsia" w:ascii="仿宋" w:hAnsi="仿宋" w:eastAsia="仿宋" w:cs="仿宋"/>
          <w:spacing w:val="12"/>
          <w:sz w:val="24"/>
          <w:szCs w:val="24"/>
        </w:rPr>
        <w:t>□本月首日至本月尾日；</w:t>
      </w:r>
      <w:r>
        <w:rPr>
          <w:rFonts w:hint="eastAsia" w:ascii="仿宋" w:hAnsi="仿宋" w:eastAsia="仿宋" w:cs="仿宋"/>
          <w:spacing w:val="12"/>
          <w:sz w:val="24"/>
          <w:szCs w:val="24"/>
        </w:rPr>
        <w:sym w:font="Wingdings 2" w:char="0052"/>
      </w:r>
      <w:r>
        <w:rPr>
          <w:rFonts w:hint="eastAsia" w:ascii="仿宋" w:hAnsi="仿宋" w:eastAsia="仿宋" w:cs="仿宋"/>
          <w:spacing w:val="12"/>
          <w:sz w:val="24"/>
          <w:szCs w:val="24"/>
        </w:rPr>
        <w:t>本月</w:t>
      </w:r>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rPr>
        <w:t>日至次月</w:t>
      </w:r>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rPr>
        <w:t>日; □每</w:t>
      </w:r>
    </w:p>
    <w:p>
      <w:pPr>
        <w:spacing w:line="360" w:lineRule="auto"/>
        <w:rPr>
          <w:rFonts w:ascii="仿宋" w:hAnsi="仿宋" w:eastAsia="仿宋" w:cs="仿宋"/>
          <w:spacing w:val="12"/>
          <w:sz w:val="24"/>
          <w:szCs w:val="24"/>
        </w:rPr>
      </w:pPr>
      <w:r>
        <w:rPr>
          <w:rFonts w:hint="eastAsia" w:ascii="仿宋" w:hAnsi="仿宋" w:eastAsia="仿宋" w:cs="仿宋"/>
          <w:spacing w:val="12"/>
          <w:sz w:val="24"/>
          <w:szCs w:val="24"/>
        </w:rPr>
        <w:t>周（7天）结清；□每半月（15天）结清；□当日结清。</w:t>
      </w:r>
      <w:commentRangeEnd w:id="1"/>
      <w:r>
        <w:commentReference w:id="1"/>
      </w:r>
    </w:p>
    <w:p>
      <w:pPr>
        <w:spacing w:line="360" w:lineRule="auto"/>
        <w:ind w:firstLine="528" w:firstLineChars="200"/>
        <w:rPr>
          <w:rFonts w:ascii="仿宋" w:hAnsi="仿宋" w:eastAsia="仿宋" w:cs="仿宋"/>
          <w:spacing w:val="12"/>
          <w:sz w:val="24"/>
          <w:szCs w:val="24"/>
        </w:rPr>
      </w:pPr>
      <w:r>
        <w:rPr>
          <w:rFonts w:hint="eastAsia" w:ascii="仿宋" w:hAnsi="仿宋" w:eastAsia="仿宋" w:cs="仿宋"/>
          <w:spacing w:val="12"/>
          <w:sz w:val="24"/>
          <w:szCs w:val="24"/>
        </w:rPr>
        <w:t>3.3服务费对账</w:t>
      </w:r>
    </w:p>
    <w:p>
      <w:pPr>
        <w:spacing w:line="360" w:lineRule="auto"/>
        <w:ind w:firstLine="528" w:firstLineChars="200"/>
        <w:rPr>
          <w:rFonts w:ascii="仿宋" w:hAnsi="仿宋" w:eastAsia="仿宋" w:cs="仿宋"/>
          <w:spacing w:val="12"/>
          <w:sz w:val="24"/>
          <w:szCs w:val="24"/>
        </w:rPr>
      </w:pPr>
      <w:r>
        <w:rPr>
          <w:rFonts w:hint="eastAsia" w:ascii="仿宋" w:hAnsi="仿宋" w:eastAsia="仿宋" w:cs="仿宋"/>
          <w:spacing w:val="12"/>
          <w:sz w:val="24"/>
          <w:szCs w:val="24"/>
        </w:rPr>
        <w:t>乙</w:t>
      </w:r>
      <w:r>
        <w:rPr>
          <w:rFonts w:hint="eastAsia" w:ascii="仿宋" w:hAnsi="仿宋" w:eastAsia="仿宋" w:cs="仿宋"/>
          <w:spacing w:val="12"/>
          <w:sz w:val="24"/>
          <w:szCs w:val="24"/>
        </w:rPr>
        <mc:AlternateContent>
          <mc:Choice Requires="wps">
            <w:drawing>
              <wp:anchor distT="0" distB="0" distL="114300" distR="114300" simplePos="0" relativeHeight="251654144" behindDoc="0" locked="0" layoutInCell="1" allowOverlap="1">
                <wp:simplePos x="0" y="0"/>
                <wp:positionH relativeFrom="column">
                  <wp:posOffset>1714500</wp:posOffset>
                </wp:positionH>
                <wp:positionV relativeFrom="paragraph">
                  <wp:posOffset>198120</wp:posOffset>
                </wp:positionV>
                <wp:extent cx="635" cy="0"/>
                <wp:effectExtent l="0" t="0" r="0" b="0"/>
                <wp:wrapNone/>
                <wp:docPr id="7" name="Line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margin-left:135pt;margin-top:15.6pt;height:0pt;width:0.05pt;z-index:251654144;mso-width-relative:page;mso-height-relative:page;" filled="f" stroked="t" coordsize="21600,21600" o:gfxdata="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pe+jtUAAAAJAQAADwAAAAAAAAABACAAAAAiAAAAZHJzL2Rvd25yZXYueG1sUEsBAhQAFAAA&#10;AAgAh07iQHO+yUO5AQAAiQMAAA4AAAAAAAAAAQAgAAAAJAEAAGRycy9lMm9Eb2MueG1sUEsFBgAA&#10;AAAGAAYAWQEAAE8FAAAAAA==&#10;">
                <v:fill on="f" focussize="0,0"/>
                <v:stroke color="#000000" joinstyle="round"/>
                <v:imagedata o:title=""/>
                <o:lock v:ext="edit" aspectratio="f"/>
              </v:line>
            </w:pict>
          </mc:Fallback>
        </mc:AlternateContent>
      </w:r>
      <w:r>
        <w:rPr>
          <w:rFonts w:hint="eastAsia" w:ascii="仿宋" w:hAnsi="仿宋" w:eastAsia="仿宋" w:cs="仿宋"/>
          <w:spacing w:val="12"/>
          <w:sz w:val="24"/>
          <w:szCs w:val="24"/>
        </w:rPr>
        <w:t>方于服务费计账周期结束后5日内通过系统发送邮件或其他双方约定的方式向甲方发送服务费的对账单。甲方应自收到对账单之日起3个工作日内回复确认。甲方如对该对账单的内容持有异议，应在收到乙方对账单之日起 3个工作日内回复乙方，否则视为甲方认可该对账单的内容准确、真实。甲乙双方应在甲方提出异议之日起三个工作日内,共同完成有异议部分服务费的核对和确认手续。双方对异议部分服务费的核对不影响甲方应按约定支付双方无异议部分的服务费。双方对账完成并已付清阶段性服务费的，不能因后续发生的托寄服务方式或者费用存在争议而否认之前已付清的该阶段性服务费。</w:t>
      </w:r>
    </w:p>
    <w:p>
      <w:pPr>
        <w:spacing w:line="360" w:lineRule="auto"/>
        <w:ind w:firstLine="528" w:firstLineChars="200"/>
        <w:rPr>
          <w:rFonts w:ascii="仿宋" w:hAnsi="仿宋" w:eastAsia="仿宋" w:cs="仿宋"/>
          <w:spacing w:val="12"/>
          <w:sz w:val="24"/>
          <w:szCs w:val="24"/>
        </w:rPr>
      </w:pPr>
      <w:r>
        <w:rPr>
          <w:rFonts w:hint="eastAsia" w:ascii="仿宋" w:hAnsi="仿宋" w:eastAsia="仿宋" w:cs="仿宋"/>
          <w:spacing w:val="12"/>
          <w:sz w:val="24"/>
          <w:szCs w:val="24"/>
        </w:rPr>
        <w:t>3.4甲方必须于每个计账周期结束后</w:t>
      </w:r>
      <w:r>
        <w:rPr>
          <w:rFonts w:hint="eastAsia" w:ascii="仿宋" w:hAnsi="仿宋" w:eastAsia="仿宋" w:cs="仿宋"/>
          <w:sz w:val="24"/>
          <w:szCs w:val="24"/>
          <w:u w:val="single"/>
        </w:rPr>
        <w:t xml:space="preserve"> </w:t>
      </w:r>
      <w:commentRangeStart w:id="2"/>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20</w:t>
      </w:r>
      <w:r>
        <w:rPr>
          <w:rFonts w:hint="eastAsia" w:ascii="仿宋" w:hAnsi="仿宋" w:eastAsia="仿宋" w:cs="仿宋"/>
          <w:sz w:val="24"/>
          <w:szCs w:val="24"/>
          <w:u w:val="single"/>
        </w:rPr>
        <w:t xml:space="preserve">    </w:t>
      </w:r>
      <w:r>
        <w:rPr>
          <w:rFonts w:hint="eastAsia" w:ascii="仿宋" w:hAnsi="仿宋" w:eastAsia="仿宋" w:cs="仿宋"/>
          <w:sz w:val="24"/>
          <w:szCs w:val="24"/>
        </w:rPr>
        <w:t>天内</w:t>
      </w:r>
      <w:r>
        <w:rPr>
          <w:rFonts w:hint="eastAsia" w:ascii="仿宋" w:hAnsi="仿宋" w:eastAsia="仿宋" w:cs="仿宋"/>
          <w:spacing w:val="12"/>
          <w:sz w:val="24"/>
          <w:szCs w:val="24"/>
        </w:rPr>
        <w:t>付清本计账周期应付服务费（经乙方书面同意适当延迟支付期限的除外）。甲方采取</w:t>
      </w:r>
      <w:r>
        <w:rPr>
          <w:rFonts w:hint="eastAsia" w:ascii="仿宋" w:hAnsi="仿宋" w:eastAsia="仿宋" w:cs="仿宋"/>
          <w:spacing w:val="12"/>
          <w:sz w:val="24"/>
          <w:szCs w:val="24"/>
        </w:rPr>
        <w:sym w:font="Wingdings 2" w:char="0052"/>
      </w:r>
      <w:r>
        <w:rPr>
          <w:rFonts w:hint="eastAsia" w:ascii="仿宋" w:hAnsi="仿宋" w:eastAsia="仿宋" w:cs="仿宋"/>
          <w:spacing w:val="12"/>
          <w:sz w:val="24"/>
          <w:szCs w:val="24"/>
          <w:u w:val="single"/>
        </w:rPr>
        <w:t>银行转账、□现金</w:t>
      </w:r>
      <w:r>
        <w:rPr>
          <w:rFonts w:ascii="仿宋" w:hAnsi="仿宋" w:eastAsia="仿宋" w:cs="仿宋"/>
          <w:spacing w:val="12"/>
          <w:sz w:val="24"/>
          <w:szCs w:val="24"/>
          <w:u w:val="single"/>
        </w:rPr>
        <w:t>支票</w:t>
      </w:r>
      <w:r>
        <w:rPr>
          <w:rFonts w:hint="eastAsia" w:ascii="仿宋" w:hAnsi="仿宋" w:eastAsia="仿宋" w:cs="仿宋"/>
          <w:spacing w:val="12"/>
          <w:sz w:val="24"/>
          <w:szCs w:val="24"/>
          <w:u w:val="single"/>
        </w:rPr>
        <w:t>、□支付宝</w:t>
      </w:r>
      <w:r>
        <w:rPr>
          <w:rFonts w:ascii="仿宋" w:hAnsi="仿宋" w:eastAsia="仿宋" w:cs="仿宋"/>
          <w:spacing w:val="12"/>
          <w:sz w:val="24"/>
          <w:szCs w:val="24"/>
          <w:u w:val="single"/>
        </w:rPr>
        <w:t>、</w:t>
      </w:r>
      <w:r>
        <w:rPr>
          <w:rFonts w:hint="eastAsia" w:ascii="仿宋" w:hAnsi="仿宋" w:eastAsia="仿宋" w:cs="仿宋"/>
          <w:spacing w:val="12"/>
          <w:sz w:val="24"/>
          <w:szCs w:val="24"/>
          <w:u w:val="single"/>
        </w:rPr>
        <w:t>□微信</w:t>
      </w:r>
      <w:r>
        <w:rPr>
          <w:rFonts w:hint="eastAsia" w:ascii="仿宋" w:hAnsi="仿宋" w:eastAsia="仿宋" w:cs="仿宋"/>
          <w:spacing w:val="12"/>
          <w:sz w:val="24"/>
          <w:szCs w:val="24"/>
        </w:rPr>
        <w:t xml:space="preserve">支付服务费。                  </w:t>
      </w:r>
      <w:commentRangeEnd w:id="2"/>
      <w:r>
        <w:commentReference w:id="2"/>
      </w:r>
      <w:r>
        <w:rPr>
          <w:rFonts w:hint="eastAsia" w:ascii="仿宋" w:hAnsi="仿宋" w:eastAsia="仿宋" w:cs="仿宋"/>
          <w:spacing w:val="12"/>
          <w:sz w:val="24"/>
          <w:szCs w:val="24"/>
        </w:rPr>
        <w:t xml:space="preserve">                                     </w:t>
      </w:r>
    </w:p>
    <w:p>
      <w:pPr>
        <w:spacing w:line="360" w:lineRule="auto"/>
        <w:ind w:firstLine="528" w:firstLineChars="200"/>
        <w:rPr>
          <w:rFonts w:ascii="仿宋" w:hAnsi="仿宋" w:eastAsia="仿宋" w:cs="仿宋"/>
          <w:spacing w:val="12"/>
          <w:sz w:val="24"/>
          <w:szCs w:val="24"/>
        </w:rPr>
      </w:pPr>
      <w:r>
        <w:rPr>
          <w:rFonts w:hint="eastAsia" w:ascii="仿宋" w:hAnsi="仿宋" w:eastAsia="仿宋" w:cs="仿宋"/>
          <w:spacing w:val="12"/>
          <w:sz w:val="24"/>
          <w:szCs w:val="24"/>
        </w:rPr>
        <w:t>3.5如甲方需要开具快递服务费发票，甲方须提供开具发票的相关资料，并在资料上加盖甲方印章。服务费的税率为6%。</w:t>
      </w:r>
    </w:p>
    <w:p>
      <w:pPr>
        <w:spacing w:line="360" w:lineRule="auto"/>
        <w:ind w:firstLine="482" w:firstLineChars="200"/>
        <w:rPr>
          <w:rFonts w:ascii="仿宋" w:hAnsi="仿宋" w:eastAsia="仿宋" w:cs="仿宋"/>
          <w:spacing w:val="12"/>
          <w:sz w:val="24"/>
          <w:szCs w:val="24"/>
        </w:rPr>
      </w:pPr>
      <w:r>
        <w:rPr>
          <w:rFonts w:hint="eastAsia" w:ascii="仿宋" w:hAnsi="仿宋" w:eastAsia="仿宋" w:cs="仿宋"/>
          <w:b/>
          <w:bCs/>
          <w:kern w:val="0"/>
          <w:sz w:val="24"/>
          <w:szCs w:val="24"/>
          <w:shd w:val="clear" w:color="auto" w:fill="FFFFFF"/>
        </w:rPr>
        <w:t>四、</w:t>
      </w:r>
      <w:r>
        <w:rPr>
          <w:rFonts w:hint="eastAsia" w:ascii="仿宋" w:hAnsi="仿宋" w:eastAsia="仿宋" w:cs="仿宋"/>
          <w:b/>
          <w:bCs/>
          <w:sz w:val="24"/>
          <w:szCs w:val="24"/>
        </w:rPr>
        <w:t>报价计费方式</w:t>
      </w:r>
    </w:p>
    <w:p>
      <w:pPr>
        <w:spacing w:line="360" w:lineRule="auto"/>
        <w:ind w:firstLine="528" w:firstLineChars="200"/>
        <w:rPr>
          <w:rFonts w:ascii="仿宋" w:hAnsi="仿宋" w:eastAsia="仿宋" w:cs="仿宋"/>
          <w:spacing w:val="12"/>
          <w:sz w:val="24"/>
          <w:szCs w:val="24"/>
        </w:rPr>
      </w:pPr>
      <w:r>
        <w:rPr>
          <w:rFonts w:hint="eastAsia" w:ascii="仿宋" w:hAnsi="仿宋" w:eastAsia="仿宋" w:cs="仿宋"/>
          <w:spacing w:val="12"/>
          <w:sz w:val="24"/>
          <w:szCs w:val="24"/>
        </w:rPr>
        <w:t>4.1乙方服务费报价明细详见附件，该服务费通常只包含托运费，如果甲方购买增值服务或者服务过程中因特殊情形产生额外的费用，则依附件或者双方商定的</w:t>
      </w:r>
    </w:p>
    <w:p>
      <w:pPr>
        <w:spacing w:line="360" w:lineRule="auto"/>
        <w:rPr>
          <w:rFonts w:ascii="仿宋" w:hAnsi="仿宋" w:eastAsia="仿宋" w:cs="仿宋"/>
          <w:spacing w:val="12"/>
          <w:sz w:val="24"/>
          <w:szCs w:val="24"/>
        </w:rPr>
      </w:pPr>
      <w:r>
        <w:rPr>
          <w:rFonts w:hint="eastAsia" w:ascii="仿宋" w:hAnsi="仿宋" w:eastAsia="仿宋" w:cs="仿宋"/>
          <w:spacing w:val="12"/>
          <w:sz w:val="24"/>
          <w:szCs w:val="24"/>
        </w:rPr>
        <w:t>方式另行计算；同时，双方在业务往来过程中业务对接人之间以电子沟通（包括但不限于QQ、微信、邮件等）等方式确认的报价记录、价格信息、打木架费用、上楼费用、转运输费用等均可作为双方计算费用的具体依据。</w:t>
      </w:r>
    </w:p>
    <w:p>
      <w:pPr>
        <w:spacing w:line="360" w:lineRule="auto"/>
        <w:ind w:firstLine="528" w:firstLineChars="200"/>
        <w:rPr>
          <w:rFonts w:ascii="仿宋" w:hAnsi="仿宋" w:eastAsia="仿宋" w:cs="仿宋"/>
          <w:spacing w:val="12"/>
          <w:sz w:val="24"/>
          <w:szCs w:val="24"/>
        </w:rPr>
      </w:pPr>
      <w:r>
        <w:rPr>
          <w:rFonts w:hint="eastAsia" w:ascii="仿宋" w:hAnsi="仿宋" w:eastAsia="仿宋" w:cs="仿宋"/>
          <w:spacing w:val="12"/>
          <w:sz w:val="24"/>
          <w:szCs w:val="24"/>
        </w:rPr>
        <w:t>4.2乙方有权根据自身经营情况或者市场行情重大改变而更改报价；乙方报价</w:t>
      </w:r>
    </w:p>
    <w:p>
      <w:pPr>
        <w:spacing w:line="360" w:lineRule="auto"/>
        <w:rPr>
          <w:rFonts w:ascii="仿宋" w:hAnsi="仿宋" w:eastAsia="仿宋" w:cs="仿宋"/>
          <w:spacing w:val="12"/>
          <w:sz w:val="24"/>
          <w:szCs w:val="24"/>
        </w:rPr>
      </w:pPr>
      <w:r>
        <w:rPr>
          <w:rFonts w:hint="eastAsia" w:ascii="仿宋" w:hAnsi="仿宋" w:eastAsia="仿宋" w:cs="仿宋"/>
          <w:spacing w:val="12"/>
          <w:sz w:val="24"/>
          <w:szCs w:val="24"/>
        </w:rPr>
        <w:t>更改后，应将新的报价单发给甲方确认，甲方收到报价单后三天内未提出异议的，视为接受新的报价；如果甲方不接受新的报价，乙方有权解除合同，甲方须按照合同约定的结算条款向乙方支付合作期间所有未支付的费用。</w:t>
      </w:r>
    </w:p>
    <w:p>
      <w:pPr>
        <w:spacing w:line="360" w:lineRule="auto"/>
        <w:ind w:firstLine="482" w:firstLineChars="200"/>
        <w:rPr>
          <w:rFonts w:ascii="仿宋" w:hAnsi="仿宋" w:eastAsia="仿宋" w:cs="仿宋"/>
          <w:b/>
          <w:spacing w:val="12"/>
          <w:sz w:val="24"/>
          <w:szCs w:val="24"/>
        </w:rPr>
      </w:pPr>
      <w:r>
        <w:rPr>
          <w:rFonts w:hint="eastAsia" w:ascii="仿宋" w:hAnsi="仿宋" w:eastAsia="仿宋" w:cs="仿宋"/>
          <w:b/>
          <w:bCs/>
          <w:kern w:val="0"/>
          <w:sz w:val="24"/>
          <w:szCs w:val="24"/>
          <w:shd w:val="clear" w:color="auto" w:fill="FFFFFF"/>
        </w:rPr>
        <w:t>五、</w:t>
      </w:r>
      <w:r>
        <w:rPr>
          <w:rFonts w:hint="eastAsia" w:ascii="仿宋" w:hAnsi="仿宋" w:eastAsia="仿宋" w:cs="仿宋"/>
          <w:b/>
          <w:bCs/>
          <w:sz w:val="24"/>
          <w:szCs w:val="24"/>
        </w:rPr>
        <w:t>其他条款</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5.1为方便业务展开，合同签署后乙方将甲方信息录入乙方数据系统，并生成甲方客户编码为</w:t>
      </w:r>
      <w:commentRangeStart w:id="3"/>
      <w:r>
        <w:rPr>
          <w:rFonts w:hint="eastAsia" w:ascii="仿宋" w:hAnsi="仿宋" w:eastAsia="仿宋" w:cs="仿宋"/>
          <w:sz w:val="24"/>
          <w:szCs w:val="24"/>
          <w:u w:val="single"/>
        </w:rPr>
        <w:t xml:space="preserve">  </w:t>
      </w:r>
      <w:r>
        <w:rPr>
          <w:rFonts w:hint="eastAsia" w:ascii="仿宋" w:hAnsi="仿宋" w:eastAsia="仿宋" w:cs="仿宋"/>
          <w:spacing w:val="12"/>
          <w:sz w:val="24"/>
          <w:szCs w:val="24"/>
          <w:u w:val="single"/>
        </w:rPr>
        <w:t xml:space="preserve">       </w:t>
      </w:r>
      <w:r>
        <w:rPr>
          <w:rFonts w:hint="eastAsia" w:ascii="仿宋" w:hAnsi="仿宋" w:eastAsia="仿宋" w:cs="仿宋"/>
          <w:sz w:val="24"/>
          <w:szCs w:val="24"/>
          <w:u w:val="single"/>
        </w:rPr>
        <w:t xml:space="preserve">  </w:t>
      </w:r>
      <w:commentRangeEnd w:id="3"/>
      <w:r>
        <w:commentReference w:id="3"/>
      </w:r>
      <w:r>
        <w:rPr>
          <w:rFonts w:hint="eastAsia" w:ascii="仿宋" w:hAnsi="仿宋" w:eastAsia="仿宋" w:cs="仿宋"/>
          <w:sz w:val="24"/>
          <w:szCs w:val="24"/>
        </w:rPr>
        <w:t>，客户编码和甲方授权的员工的手机号码绑定，甲方登录乙方下单系统需要使用绑定的手机号码接收验证码；乙方根据客户编码识别客户并向甲方指定的收件人发货和进行最终结算。因涉及对甲方客户信息的保护，便捷双方之间的业务合作，乙方将采取电子运单和传统运单的形式，电子运单上会隐藏收件人、发件人信息，为避免双方在计算费用时的纠纷发生，双方一致同意依据电子或者传统运单上的编码、单号在乙方物流系统中显示的详细信息为准；对此甲方不得向乙方主张该票货物并非其委托寄送或者其他理由抗辩而不予支付费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5.2 本合同中约定的“日”指自然日，包括正常的工作日和周末休息日，也包括假期；“工作日”指周一至周六或者乙方在官网通知的工作日期。</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5.3合同有效期限</w:t>
      </w:r>
      <w:r>
        <w:rPr>
          <w:rFonts w:hint="eastAsia" w:ascii="仿宋" w:hAnsi="仿宋" w:eastAsia="仿宋" w:cs="仿宋"/>
          <w:spacing w:val="12"/>
          <w:sz w:val="24"/>
          <w:szCs w:val="24"/>
        </w:rPr>
        <w:t>：</w:t>
      </w:r>
      <w:r>
        <w:rPr>
          <w:rFonts w:hint="eastAsia" w:ascii="仿宋" w:hAnsi="仿宋" w:eastAsia="仿宋" w:cs="仿宋"/>
          <w:spacing w:val="12"/>
          <w:sz w:val="24"/>
          <w:szCs w:val="24"/>
          <w:u w:val="single"/>
        </w:rPr>
        <w:t xml:space="preserve"> </w:t>
      </w:r>
      <w:commentRangeStart w:id="4"/>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u w:val="single"/>
          <w:lang w:val="en-US" w:eastAsia="zh-CN"/>
        </w:rPr>
        <w:t>2020</w:t>
      </w:r>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rPr>
        <w:t>年</w:t>
      </w:r>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u w:val="single"/>
          <w:lang w:val="en-US" w:eastAsia="zh-CN"/>
        </w:rPr>
        <w:t>08</w:t>
      </w:r>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rPr>
        <w:t>月</w:t>
      </w:r>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u w:val="single"/>
          <w:lang w:val="en-US" w:eastAsia="zh-CN"/>
        </w:rPr>
        <w:t>19</w:t>
      </w:r>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rPr>
        <w:t>日至</w:t>
      </w:r>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u w:val="single"/>
          <w:lang w:val="en-US" w:eastAsia="zh-CN"/>
        </w:rPr>
        <w:t>2021</w:t>
      </w:r>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rPr>
        <w:t>年</w:t>
      </w:r>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u w:val="single"/>
          <w:lang w:val="en-US" w:eastAsia="zh-CN"/>
        </w:rPr>
        <w:t>08</w:t>
      </w:r>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rPr>
        <w:t>月</w:t>
      </w:r>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u w:val="single"/>
          <w:lang w:val="en-US" w:eastAsia="zh-CN"/>
        </w:rPr>
        <w:t>19</w:t>
      </w:r>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rPr>
        <w:t>日</w:t>
      </w:r>
      <w:r>
        <w:rPr>
          <w:rFonts w:hint="eastAsia" w:ascii="仿宋" w:hAnsi="仿宋" w:eastAsia="仿宋" w:cs="仿宋"/>
          <w:sz w:val="24"/>
          <w:szCs w:val="24"/>
        </w:rPr>
        <w:t>。</w:t>
      </w:r>
      <w:commentRangeEnd w:id="4"/>
      <w:r>
        <w:commentReference w:id="4"/>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5.4是否购买签回单服务</w:t>
      </w:r>
      <w:commentRangeStart w:id="5"/>
      <w:r>
        <w:rPr>
          <w:rFonts w:hint="eastAsia" w:ascii="仿宋" w:hAnsi="仿宋" w:eastAsia="仿宋" w:cs="仿宋"/>
          <w:sz w:val="24"/>
          <w:szCs w:val="24"/>
        </w:rPr>
        <w:t>：□是；□否。签回单服务费用:</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 xml:space="preserve">  </w:t>
      </w:r>
      <w:r>
        <w:rPr>
          <w:rFonts w:hint="eastAsia" w:ascii="仿宋" w:hAnsi="仿宋" w:eastAsia="仿宋" w:cs="仿宋"/>
          <w:sz w:val="24"/>
          <w:szCs w:val="24"/>
        </w:rPr>
        <w:t>元每票</w:t>
      </w:r>
      <w:commentRangeEnd w:id="5"/>
      <w:r>
        <w:commentReference w:id="5"/>
      </w:r>
      <w:r>
        <w:rPr>
          <w:rFonts w:hint="eastAsia" w:ascii="仿宋" w:hAnsi="仿宋" w:eastAsia="仿宋" w:cs="仿宋"/>
          <w:sz w:val="24"/>
          <w:szCs w:val="24"/>
        </w:rPr>
        <w:t>。回单服务费计算以实际发生货物运输的运单数量（票数）为准，确认购买签回单服务后默认每票都需享受该服务。若运单上勾选了签回单，但甲方在货物签收前未将回单交付给乙方；或者运单上未勾选签回单而临时通知乙方追加签回单服务的，乙方均按20元/票收费。</w:t>
      </w:r>
    </w:p>
    <w:p>
      <w:pPr>
        <w:spacing w:line="360" w:lineRule="auto"/>
        <w:ind w:firstLine="480" w:firstLineChars="200"/>
        <w:rPr>
          <w:rFonts w:ascii="仿宋" w:hAnsi="仿宋" w:eastAsia="仿宋" w:cs="仿宋"/>
          <w:b/>
          <w:sz w:val="28"/>
          <w:szCs w:val="28"/>
          <w:u w:val="single"/>
        </w:rPr>
      </w:pPr>
      <w:r>
        <w:rPr>
          <w:rFonts w:hint="eastAsia" w:ascii="仿宋" w:hAnsi="仿宋" w:eastAsia="仿宋" w:cs="仿宋"/>
          <w:sz w:val="24"/>
          <w:szCs w:val="24"/>
        </w:rPr>
        <w:t>5.5限时服务送达时效从甲方将货物交付给乙方后（乙方装车完成之后）开始计算，预计时效发货当天不计算在内,若派送地址为偏远地区（国家行政划分为二级或二级以下地区）需增加1至2个工作日送达。</w:t>
      </w:r>
    </w:p>
    <w:p>
      <w:pPr>
        <w:spacing w:line="360" w:lineRule="auto"/>
        <w:ind w:firstLine="562" w:firstLineChars="200"/>
        <w:jc w:val="center"/>
        <w:rPr>
          <w:rFonts w:ascii="仿宋" w:hAnsi="仿宋" w:eastAsia="仿宋" w:cs="仿宋"/>
          <w:b/>
          <w:sz w:val="28"/>
          <w:szCs w:val="28"/>
          <w:u w:val="single"/>
        </w:rPr>
      </w:pPr>
      <w:r>
        <w:rPr>
          <w:rFonts w:hint="eastAsia" w:ascii="仿宋" w:hAnsi="仿宋" w:eastAsia="仿宋" w:cs="仿宋"/>
          <w:b/>
          <w:sz w:val="28"/>
          <w:szCs w:val="28"/>
          <w:u w:val="single"/>
        </w:rPr>
        <w:t>第二部分</w:t>
      </w:r>
    </w:p>
    <w:p>
      <w:pPr>
        <w:spacing w:line="360" w:lineRule="auto"/>
        <w:ind w:firstLine="562" w:firstLineChars="200"/>
        <w:jc w:val="center"/>
        <w:rPr>
          <w:rFonts w:ascii="仿宋" w:hAnsi="仿宋" w:eastAsia="仿宋" w:cs="仿宋"/>
          <w:b/>
          <w:sz w:val="28"/>
          <w:szCs w:val="28"/>
        </w:rPr>
      </w:pPr>
      <w:r>
        <w:rPr>
          <w:rFonts w:hint="eastAsia" w:ascii="仿宋" w:hAnsi="仿宋" w:eastAsia="仿宋" w:cs="仿宋"/>
          <w:b/>
          <w:sz w:val="28"/>
          <w:szCs w:val="28"/>
          <w:u w:val="single"/>
        </w:rPr>
        <w:t>一般条款</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六、保价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甲方可以自愿选择是否对托寄物购买商业保险，对贵重物品和单票价值超过人民币壹仟元的托寄物应向乙方提出“保价”服务，否则因甲方未提出保价而遭受的一切损失均视为由甲方承担责任。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6.1乙方对大部分托寄物提供保价运输服务，甲方可以对满足乙方要求的托寄物选择保价服务，保价费的支付独立于运费之外。保价费为声明托寄物价值的</w:t>
      </w:r>
      <w:r>
        <w:rPr>
          <w:rFonts w:hint="eastAsia" w:ascii="仿宋" w:hAnsi="仿宋" w:eastAsia="仿宋" w:cs="仿宋"/>
          <w:sz w:val="24"/>
          <w:szCs w:val="24"/>
          <w:u w:val="single"/>
        </w:rPr>
        <w:t xml:space="preserve"> </w:t>
      </w:r>
      <w:commentRangeStart w:id="6"/>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 xml:space="preserve">   </w:t>
      </w:r>
      <w:commentRangeEnd w:id="6"/>
      <w:r>
        <w:commentReference w:id="6"/>
      </w:r>
      <w:r>
        <w:rPr>
          <w:rFonts w:hint="eastAsia" w:ascii="仿宋" w:hAnsi="仿宋" w:eastAsia="仿宋" w:cs="仿宋"/>
          <w:sz w:val="24"/>
          <w:szCs w:val="24"/>
        </w:rPr>
        <w:t>‰。</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6.2保价效力：寄件人需按实际货物价值填写托寄物的声明价值，并按运单约定缴纳保价费。声明价值高于实际价值的，按实际价值计算。未填写声明价值或未交保价费的，视为未保价。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6.3所有属于不承保托寄物或者限制承保类托寄物而甲方未告知乙方取货人员并在运单上备注的，无论甲方是否已办理保价手续或申明要求保价，如后续发生导致该不承保托寄物灭失或者价值减少的行为，则附加在该不承保托寄物上的保价一律无效，发生任何损失乙方均不予赔偿且不返还保价费用。不承保托寄物的具体内容详见附件一。</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 xml:space="preserve">七、货损赔偿   </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7.1甲方客户应对货物进行现场验收，验收无误的，应在运单签收处签字。如现场验收发现托寄物毁损、灭失的，甲方须跟现场送货员确认，并于</w:t>
      </w:r>
      <w:r>
        <w:rPr>
          <w:rFonts w:hint="eastAsia" w:ascii="仿宋" w:hAnsi="仿宋" w:eastAsia="仿宋" w:cs="仿宋"/>
          <w:b/>
          <w:sz w:val="24"/>
          <w:szCs w:val="24"/>
          <w:u w:val="single"/>
        </w:rPr>
        <w:t xml:space="preserve"> 2  </w:t>
      </w:r>
      <w:r>
        <w:rPr>
          <w:rFonts w:hint="eastAsia" w:ascii="仿宋" w:hAnsi="仿宋" w:eastAsia="仿宋" w:cs="仿宋"/>
          <w:b/>
          <w:sz w:val="24"/>
          <w:szCs w:val="24"/>
        </w:rPr>
        <w:t>个工作日内以书面形式向乙方提出索赔要求，并附相关证明文件，乙方接收相关证明文件后两个工作日内答复是否受理。</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7.2未保价的托寄物，在派送过程中，如因乙方过错导致托寄物</w:t>
      </w:r>
      <w:bookmarkStart w:id="1" w:name="OLE_LINK5"/>
      <w:r>
        <w:rPr>
          <w:rFonts w:hint="eastAsia" w:ascii="仿宋" w:hAnsi="仿宋" w:eastAsia="仿宋" w:cs="仿宋"/>
          <w:b/>
          <w:sz w:val="24"/>
          <w:szCs w:val="24"/>
        </w:rPr>
        <w:t>毁损、灭失的</w:t>
      </w:r>
      <w:bookmarkEnd w:id="1"/>
      <w:r>
        <w:rPr>
          <w:rFonts w:hint="eastAsia" w:ascii="仿宋" w:hAnsi="仿宋" w:eastAsia="仿宋" w:cs="仿宋"/>
          <w:b/>
          <w:sz w:val="24"/>
          <w:szCs w:val="24"/>
        </w:rPr>
        <w:t>，按托寄物的实际损毁价值赔偿，但月结客户赔偿金额不超过单票服务费的9倍，最高赔偿限额为4000元；非月结客户赔偿金额不超过单票服务费的7倍，最高赔偿限额为2000元。</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7.3 托寄物保价的，甲方应在运单上填写声明价值并支付保价费。发生托寄物灭失、破损或短少情形，足额保价的，按照货物实际价值和损失的比例赔偿，最高不超过托寄物的实</w:t>
      </w:r>
    </w:p>
    <w:p>
      <w:pPr>
        <w:spacing w:line="360" w:lineRule="auto"/>
        <w:rPr>
          <w:rFonts w:ascii="仿宋" w:hAnsi="仿宋" w:eastAsia="仿宋" w:cs="仿宋"/>
          <w:b/>
          <w:sz w:val="24"/>
          <w:szCs w:val="24"/>
        </w:rPr>
      </w:pPr>
      <w:r>
        <w:rPr>
          <w:rFonts w:hint="eastAsia" w:ascii="仿宋" w:hAnsi="仿宋" w:eastAsia="仿宋" w:cs="仿宋"/>
          <w:b/>
          <w:sz w:val="24"/>
          <w:szCs w:val="24"/>
        </w:rPr>
        <w:t>际损失金额；未足额保价的，则按照（声明价值÷货物实际价值）×货物实际损毁价值进行赔偿。</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乙方赔偿甲方后，甲方物品所有权归乙方所有；如拖寄物品有残值部分，甲方想保留其残值。乙方有权在赔偿金中扣除残值部分的金额。</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保价只赔付货物实际损失（直接损失），对于货物破损、丢失引起的间接损失不做核定及赔偿，如：误工费、利润、罚款、停产、停线延误等；</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7.4实际损毁价值仅为托寄物本身的物理价值，不包括孳息、商业利益、客户索赔等。</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7.5甲方作为被保险人时的保险公司行使代位求偿权时，也受上述赔偿标准的限制。</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八、双方的权利义务</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8.1甲方的权利义务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8.1.1甲方有权要求乙方按委托的时间、地点、方式将托寄物运送至目的地；有权了解托寄物的在途信息。甲方或甲方指定收件方有权变更或取消托运单，但应当在起运一小时前告知乙方；未提前告知的，若托寄物还未派运，则每批次收取50元的服务费；若托寄物已经派运，则参照物流业行情，按实际承运距离收取相应服务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8.1.2甲方或甲方客户下单、变更、取消托运单应通过全国服务热线95324、终端APP以及乙方官网下单系统等方式，以双方确认的时间节点和变更事项为准。</w:t>
      </w:r>
    </w:p>
    <w:p>
      <w:pPr>
        <w:spacing w:line="360" w:lineRule="auto"/>
        <w:ind w:firstLine="480" w:firstLineChars="200"/>
        <w:rPr>
          <w:rFonts w:ascii="仿宋" w:hAnsi="仿宋" w:eastAsia="仿宋" w:cs="仿宋"/>
          <w:sz w:val="24"/>
          <w:szCs w:val="24"/>
        </w:rPr>
      </w:pPr>
      <w:bookmarkStart w:id="2" w:name="OLE_LINK3"/>
      <w:r>
        <w:rPr>
          <w:rFonts w:hint="eastAsia" w:ascii="仿宋" w:hAnsi="仿宋" w:eastAsia="仿宋" w:cs="仿宋"/>
          <w:sz w:val="24"/>
          <w:szCs w:val="24"/>
        </w:rPr>
        <w:t>8.1.</w:t>
      </w:r>
      <w:bookmarkEnd w:id="2"/>
      <w:r>
        <w:rPr>
          <w:rFonts w:hint="eastAsia" w:ascii="仿宋" w:hAnsi="仿宋" w:eastAsia="仿宋" w:cs="仿宋"/>
          <w:sz w:val="24"/>
          <w:szCs w:val="24"/>
        </w:rPr>
        <w:t>3甲方有权要求乙方随时提供甲方所委托业务的进展情况、服务过程中的信息反馈（不可提供的快递行业机密或涉及乙方商业信息的除外）。</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8.1.4甲方有义务按照合同约定的时间与乙方进行结算，甲方不得以双方存在其他纠纷为由拖延支付、拒绝支付或主张扣除应付费用。</w:t>
      </w:r>
    </w:p>
    <w:p>
      <w:pPr>
        <w:spacing w:line="360" w:lineRule="auto"/>
        <w:ind w:firstLine="480" w:firstLineChars="200"/>
        <w:rPr>
          <w:rFonts w:ascii="仿宋" w:hAnsi="仿宋" w:eastAsia="仿宋" w:cs="仿宋"/>
          <w:b/>
          <w:bCs/>
          <w:sz w:val="24"/>
          <w:szCs w:val="24"/>
        </w:rPr>
      </w:pPr>
      <w:r>
        <w:rPr>
          <w:rFonts w:hint="eastAsia" w:ascii="仿宋" w:hAnsi="仿宋" w:eastAsia="仿宋" w:cs="仿宋"/>
          <w:sz w:val="24"/>
          <w:szCs w:val="24"/>
        </w:rPr>
        <w:t>8.1.5甲方在托寄物品时，应如实申报托寄物内容、数量、声明价值、品名等资料，准确、真实地填写运单之各项内容，否则发生一切不利后果概由甲方负责。</w:t>
      </w:r>
      <w:r>
        <w:rPr>
          <w:rFonts w:hint="eastAsia" w:ascii="仿宋" w:hAnsi="仿宋" w:eastAsia="仿宋" w:cs="仿宋"/>
          <w:b/>
          <w:bCs/>
          <w:sz w:val="24"/>
          <w:szCs w:val="24"/>
        </w:rPr>
        <w:t>乙方有权对托寄物重量进行复称，甲方应在收到乙方提供的寄方存根联后24小时内书面回复确认，否则视为甲方同意乙方复称的结果。</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8.1.6甲方应保证待发托寄物及外包装完整、件数足够、标识清楚、单据齐全，装运托寄物应及时、准确地将有关托寄物信息和单据提供给乙方，以确保托寄物及时发送。若相关法律法规对涉及到的托寄物的运输包装或者运输方式有特殊要求时，甲方应当按法律法规相关规定对托寄物进行包装。运输方式有特殊要求时，甲方应当向乙方事先披露，由乙方决定是否承运。因包装不符合上述要求或甲方没有向乙方披露特殊运输方式而引起损害的，甲方自行承担包括乙方在内的所有损失。</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8.1.7甲方有权对乙方及乙方代表和相关工作人员的工作提出意见、要求改进。</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8.1.8甲方托寄物品时应遵守国家相关规定，保证托寄物符合国家法律法规的要求，不属于禁止生产、销售、传播的物品，不属于禁止或限制寄递的违禁品、假冒伪劣产品。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8.1.9甲方存在隐瞒或虚报货物情况或在普通货物中夹带、匿报危险品、违禁品或其他违反有关部门规定的申报品时，甲方需承担违约责任；并由此给乙方造成损失的，甲方应承担赔偿责任。同时甲方应承担国家强制性规定所导致的包括但不限于行政处罚、刑事处罚等一切不利法律后果。</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8.1.10 甲方托寄物需要办理审批、检验等申报手续的，依据相关法律法规，甲方应当将办理完有关手续的证明文件提交乙方，否则乙方有权拒绝揽收；甲方提供虚假申报材料的，由此产生的一切损失以及不利的法律后果，均由甲方承担。</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8.1.11甲方或甲方指定收件人对托寄物检查确认并签收后，该托寄物的毁损、灭失、短少等一切风险随之转移到甲方或指定收件方，乙方概不负责。</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8.1.12 通常情况下，甲方应至少提前3小时将托运信息通知乙方指定联系人。在快递业务高峰期间，包括但不限于法定节假日、“双十一”、“双十二”、“6.18”等电商平台促销期间，甲方须在托寄前15日预告乙方业务量情况，以便乙方安排包括但不限于自身运力资源或者第三方运力资源投入，同时乙方可根据自身实际营运能力适当调整在此期间承接甲方的托寄量，且对甲方在此期间托寄物不做任何时效上的承诺，甚至可能产生停收托寄物的意外情形。</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8.1.13甲方客户收到乙方派送的货物时有权要求先开箱验货再签收，乙方不得无故阻拦或拒绝配合，如开箱验收托寄物时间超过2小时的，乙方有权收取每小时人民币200元人工费；甲方客户未开箱验货的，甲方客户签收货物后不得以任何理由向乙方主张货损等赔偿。</w:t>
      </w:r>
    </w:p>
    <w:p>
      <w:pPr>
        <w:spacing w:line="360" w:lineRule="auto"/>
        <w:rPr>
          <w:rFonts w:ascii="仿宋" w:hAnsi="仿宋" w:eastAsia="仿宋" w:cs="仿宋"/>
          <w:b/>
          <w:bCs/>
          <w:sz w:val="24"/>
          <w:szCs w:val="24"/>
        </w:rPr>
      </w:pPr>
      <w:r>
        <w:rPr>
          <w:rFonts w:hint="eastAsia" w:ascii="仿宋" w:hAnsi="仿宋" w:eastAsia="仿宋" w:cs="仿宋"/>
          <w:b/>
          <w:bCs/>
          <w:sz w:val="24"/>
          <w:szCs w:val="24"/>
        </w:rPr>
        <w:t>乙方只负责承运整箱件数货物，如送货件数与运单上的取货件数一致，甲方客户清点箱内细数如有不符，乙方不承担任何责任。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8.1.14 甲方使用电子运单的，视为自愿接受《电子运单服务使用协议》的相关约束。</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w:t>
      </w:r>
      <w:r>
        <w:rPr>
          <w:rFonts w:ascii="仿宋" w:hAnsi="仿宋" w:eastAsia="仿宋" w:cs="仿宋"/>
          <w:sz w:val="24"/>
          <w:szCs w:val="24"/>
        </w:rPr>
        <w:t xml:space="preserve">15 </w:t>
      </w:r>
      <w:r>
        <w:rPr>
          <w:rFonts w:hint="eastAsia" w:ascii="仿宋" w:hAnsi="仿宋" w:eastAsia="仿宋" w:cs="仿宋"/>
          <w:sz w:val="24"/>
          <w:szCs w:val="24"/>
        </w:rPr>
        <w:t>甲方根据乙方的积分规则可以取得积分以及利用积分换购相对应的产品和服务。甲方应该按照乙方的要求委托积分兑换人并要求积分兑换人保管好账号和密码，积分兑换人所进行的包括但不限于积分换购产品和服务等行为视为甲方的行为；积分兑换人因工作岗位变动或者离职等原因需要更换的，甲方应该在做出更换决定后的7天内书面通知乙方，乙方在收到甲方变更积分兑换人之前仍视原来的积分兑换人为合法委托人，因甲方原因未及时通知变更积分兑换人而造成的任何积分权益损失均由甲方承担。</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8.1.16根据乙方的奖励机制，如果甲方的股东、监事、独立董事、法定代表人、高级管理人员和其他员工（以下简称甲方人员）向乙方介绍客户和业务，乙方将按照公开的奖励条款给予甲方人员提成等奖励。甲方承认甲方人员所为的给乙方介绍客户和业务以及取得奖</w:t>
      </w:r>
    </w:p>
    <w:p>
      <w:pPr>
        <w:spacing w:line="360" w:lineRule="auto"/>
        <w:rPr>
          <w:rFonts w:ascii="仿宋" w:hAnsi="仿宋" w:eastAsia="仿宋" w:cs="仿宋"/>
          <w:sz w:val="24"/>
          <w:szCs w:val="24"/>
        </w:rPr>
      </w:pPr>
      <w:r>
        <w:rPr>
          <w:rFonts w:hint="eastAsia" w:ascii="仿宋" w:hAnsi="仿宋" w:eastAsia="仿宋" w:cs="仿宋"/>
          <w:sz w:val="24"/>
          <w:szCs w:val="24"/>
        </w:rPr>
        <w:t>励等行为，是甲方人员的个人行为，和甲方无关。甲方已经要求甲方人员进行利益申报，甲</w:t>
      </w:r>
    </w:p>
    <w:p>
      <w:pPr>
        <w:spacing w:line="360" w:lineRule="auto"/>
        <w:rPr>
          <w:rFonts w:ascii="仿宋" w:hAnsi="仿宋" w:eastAsia="仿宋" w:cs="仿宋"/>
          <w:sz w:val="24"/>
          <w:szCs w:val="24"/>
        </w:rPr>
      </w:pPr>
      <w:r>
        <w:rPr>
          <w:rFonts w:hint="eastAsia" w:ascii="仿宋" w:hAnsi="仿宋" w:eastAsia="仿宋" w:cs="仿宋"/>
          <w:sz w:val="24"/>
          <w:szCs w:val="24"/>
        </w:rPr>
        <w:t>方不会将前述行为理解成商业贿赂等不正当竞争行为。甲方选择乙方作为合作伙伴是基于合理的商业考量以及独立的评价机制，和乙方按照公开的奖励条款给付上述甲方人员的行为没有关联。</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8.1.17甲方委托乙方代为收取货款事宜的，应提供代为收取货款所必需的文件、凭据并通知付款人。甲乙之间的委托代收货款关系按一般委托合同关系处理，甲方不得以收取货款事宜为由拒绝支付乙方服务费。如甲方任何一期拖延支付乙方服务费的，乙方有权在收取的货款中进行相应抵扣。</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8.2乙方的权利义务</w:t>
      </w:r>
    </w:p>
    <w:p>
      <w:pPr>
        <w:spacing w:line="360" w:lineRule="auto"/>
        <w:ind w:firstLine="480" w:firstLineChars="200"/>
        <w:rPr>
          <w:rFonts w:ascii="仿宋" w:hAnsi="仿宋" w:eastAsia="仿宋" w:cs="仿宋"/>
          <w:sz w:val="24"/>
          <w:szCs w:val="24"/>
        </w:rPr>
      </w:pPr>
      <w:bookmarkStart w:id="3" w:name="OLE_LINK4"/>
      <w:r>
        <w:rPr>
          <w:rFonts w:hint="eastAsia" w:ascii="仿宋" w:hAnsi="仿宋" w:eastAsia="仿宋" w:cs="仿宋"/>
          <w:sz w:val="24"/>
          <w:szCs w:val="24"/>
        </w:rPr>
        <w:t>8.2.1</w:t>
      </w:r>
      <w:bookmarkEnd w:id="3"/>
      <w:r>
        <w:rPr>
          <w:rFonts w:hint="eastAsia" w:ascii="仿宋" w:hAnsi="仿宋" w:eastAsia="仿宋" w:cs="仿宋"/>
          <w:sz w:val="24"/>
          <w:szCs w:val="24"/>
        </w:rPr>
        <w:t>乙方应在服务过程中就快递服务能力、时间及安全可靠性等方面满足甲方的需求，确保服务质量。同时在保障服务质量的情况下，乙方有权根据自身业务经营需要或者市场变化，自行决定将托寄物交由第三方承运。</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8.2.2乙方应在甲方通知提货时及时到达甲方指定地点提货并办理各项服务事项。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8.2.3就已起运的货物，双方应保持良好的联系，乙方对托寄物的在途风险承担责任，如在途遇突发事件或其它异常情况出现，乙方应如实报告甲方，并视情况进行紧急处理或与甲方协商解决。</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8.2.4乙方不得擅自改动甲方的包装标准。收货人验货前，乙方保证甲方货物包装完好，封条完整，但是，法律、法规规定需要接受有关部门检查及乙方为保护甲方利益采取的必要措施除外。</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8.2.5乙方有权要求收货人以书面形式签收货物并按照约定结算费用；需要提供增值服务的额外计算附加费；附加费包括但不限于爬楼费、保管费、人工费等。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8.2.6乙方到达目的地有义务提前通知甲方指定收货人准备接收货物。当乙方查不到收货人或收货人拒绝提取货物，乙方应及时与甲方联系，在双方确认的期限内负责保管托寄物（易腐烂、变质等不易保存的托寄物除外），并有权收取保管费用。保管费用视具体情形而定，自开始保管之日计算至收货人接收之日。对于超过30日仍无法完成交付的托寄物，除甲方要求运回托寄物并同意支付运费、保管费外，乙方有权自主处理该托寄物以抵扣上述费用并无需承担任何责任。如因此给乙方造成损失的，甲方还需承担赔偿责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8.2.7乙方有权按照本合同及附件向甲方收取服务费，根据甲方选择的附加服务收取附</w:t>
      </w:r>
    </w:p>
    <w:p>
      <w:pPr>
        <w:spacing w:line="360" w:lineRule="auto"/>
        <w:rPr>
          <w:rFonts w:ascii="仿宋" w:hAnsi="仿宋" w:eastAsia="仿宋" w:cs="仿宋"/>
          <w:sz w:val="24"/>
          <w:szCs w:val="24"/>
        </w:rPr>
      </w:pPr>
      <w:r>
        <w:rPr>
          <w:rFonts w:hint="eastAsia" w:ascii="仿宋" w:hAnsi="仿宋" w:eastAsia="仿宋" w:cs="仿宋"/>
          <w:sz w:val="24"/>
          <w:szCs w:val="24"/>
        </w:rPr>
        <w:t>加费用（如签回单、代收货款、保价费用等）。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8.2.8根据国家法律法规的规定，应国家司法、行政机关的要求，或出于安检的需要，乙方可以对托寄物开箱验视。如发现托寄物属于不予寄递范围或含有禁寄物品，乙方有权拒收或退回，并有权收取所发生的实际费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8.2.9乙方无审核甲方托寄物实际价值的义务。甲方应自觉按托寄物的实际价值填写声明价值并选择保价。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8.2.10甲方或其指定付款人逾期支付服</w:t>
      </w:r>
      <w:r>
        <w:rPr>
          <w:sz w:val="24"/>
        </w:rPr>
        <mc:AlternateContent>
          <mc:Choice Requires="wps">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0pt;height:144pt;width:144pt;mso-wrap-style:none;z-index:-251655168;mso-width-relative:page;mso-height-relative:page;" filled="f" stroked="f" coordsize="21600,21600" o:gfxdata="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OckudEAAAAFAQAADwAAAAAA&#10;AAABACAAAAAiAAAAZHJzL2Rvd25yZXYueG1sUEsBAhQAFAAAAAgAh07iQB3gyfIaAgAAFwQAAA4A&#10;AAAAAAAAAQAgAAAAIAEAAGRycy9lMm9Eb2MueG1sUEsFBgAAAAAGAAYAWQEAAKwFAAAAAA==&#10;">
                <v:fill on="f" focussize="0,0"/>
                <v:stroke on="f" weight="0.5pt"/>
                <v:imagedata o:title=""/>
                <o:lock v:ext="edit" aspectratio="f"/>
                <v:textbox style="mso-fit-shape-to-text:t;">
                  <w:txbxContent>
                    <w:p>
                      <w:pPr>
                        <w:rPr>
                          <w:b/>
                          <w:bCs/>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txbxContent>
                </v:textbox>
              </v:shape>
            </w:pict>
          </mc:Fallback>
        </mc:AlternateContent>
      </w:r>
      <w:r>
        <w:rPr>
          <w:rFonts w:hint="eastAsia" w:ascii="仿宋" w:hAnsi="仿宋" w:eastAsia="仿宋" w:cs="仿宋"/>
          <w:sz w:val="24"/>
          <w:szCs w:val="24"/>
        </w:rPr>
        <w:t>务费或其他费用（如有），经书面通知后甲方或其指定付款人仍拒绝付款的，乙方有权留置托寄物。留置期间仓储保管费用由甲方支付，该费用由乙方视托寄物情况决定，计算至甲方付清相关费用为止。2个月的留置期限期满，甲方或其指定付款人仍未支付相关费用的，乙方可以变卖、拍卖留置物并优先受偿，由此所支</w:t>
      </w:r>
    </w:p>
    <w:p>
      <w:pPr>
        <w:spacing w:line="360" w:lineRule="auto"/>
        <w:rPr>
          <w:rFonts w:ascii="仿宋" w:hAnsi="仿宋" w:eastAsia="仿宋" w:cs="仿宋"/>
          <w:sz w:val="24"/>
          <w:szCs w:val="24"/>
        </w:rPr>
      </w:pPr>
      <w:r>
        <w:rPr>
          <w:rFonts w:hint="eastAsia" w:ascii="仿宋" w:hAnsi="仿宋" w:eastAsia="仿宋" w:cs="仿宋"/>
          <w:sz w:val="24"/>
          <w:szCs w:val="24"/>
        </w:rPr>
        <w:t>出的额外费用由甲方承担。乙方行使留置权，不影响甲方在法律允许的范围内根据本合同享有的其他权益。</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8.2.11</w:t>
      </w:r>
      <w:r>
        <w:rPr>
          <w:rFonts w:hint="eastAsia" w:ascii="仿宋" w:hAnsi="仿宋" w:eastAsia="仿宋" w:cs="仿宋"/>
          <w:sz w:val="24"/>
          <w:szCs w:val="24"/>
        </w:rPr>
        <w:t>甲方有以下情形之一的，乙方有权立即解除合同：</w:t>
      </w:r>
    </w:p>
    <w:p>
      <w:pPr>
        <w:spacing w:line="360" w:lineRule="auto"/>
        <w:rPr>
          <w:rFonts w:ascii="仿宋" w:hAnsi="仿宋" w:eastAsia="仿宋" w:cs="仿宋"/>
          <w:sz w:val="24"/>
          <w:szCs w:val="24"/>
        </w:rPr>
      </w:pPr>
      <w:r>
        <w:rPr>
          <w:rFonts w:hint="eastAsia" w:ascii="仿宋" w:hAnsi="仿宋" w:eastAsia="仿宋" w:cs="仿宋"/>
          <w:sz w:val="24"/>
          <w:szCs w:val="24"/>
        </w:rPr>
        <w:t>（1）甲方无故拖欠乙方全部或部分结算费用超</w:t>
      </w:r>
      <w:commentRangeStart w:id="7"/>
      <w:r>
        <w:rPr>
          <w:rFonts w:hint="eastAsia" w:ascii="仿宋" w:hAnsi="仿宋" w:eastAsia="仿宋" w:cs="仿宋"/>
          <w:sz w:val="24"/>
          <w:szCs w:val="24"/>
        </w:rPr>
        <w:t>过</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日</w:t>
      </w:r>
      <w:r>
        <w:rPr>
          <w:rFonts w:hint="eastAsia" w:ascii="仿宋" w:hAnsi="仿宋" w:eastAsia="仿宋" w:cs="仿宋"/>
          <w:sz w:val="24"/>
          <w:szCs w:val="24"/>
        </w:rPr>
        <w:t>或拖欠费用金额达</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0.01</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万元以上；</w:t>
      </w:r>
    </w:p>
    <w:p>
      <w:pPr>
        <w:spacing w:line="360" w:lineRule="auto"/>
        <w:rPr>
          <w:rFonts w:ascii="仿宋" w:hAnsi="仿宋" w:eastAsia="仿宋" w:cs="仿宋"/>
          <w:sz w:val="24"/>
          <w:szCs w:val="24"/>
        </w:rPr>
      </w:pPr>
      <w:r>
        <w:rPr>
          <w:rFonts w:hint="eastAsia" w:ascii="仿宋" w:hAnsi="仿宋" w:eastAsia="仿宋" w:cs="仿宋"/>
          <w:sz w:val="24"/>
          <w:szCs w:val="24"/>
        </w:rPr>
        <w:t>（2）甲方各项费用总和连续</w:t>
      </w:r>
      <w:r>
        <w:rPr>
          <w:rFonts w:ascii="仿宋" w:hAnsi="仿宋" w:eastAsia="仿宋" w:cs="仿宋"/>
          <w:sz w:val="24"/>
          <w:szCs w:val="24"/>
        </w:rPr>
        <w:t>3个月未达到</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1000</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commentRangeEnd w:id="7"/>
      <w:r>
        <w:commentReference w:id="7"/>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）甲乙双方就价格变更无法达成一致意见的；</w:t>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）甲方经营状况严重恶化；</w:t>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）甲方转移财产、抽逃资金，以逃避债务；</w:t>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）甲方申请解散、破产、被接管或清算；</w:t>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）甲方存在其他严重影响乙方经营的行为；</w:t>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8</w:t>
      </w:r>
      <w:r>
        <w:rPr>
          <w:rFonts w:hint="eastAsia" w:ascii="仿宋" w:hAnsi="仿宋" w:eastAsia="仿宋" w:cs="仿宋"/>
          <w:sz w:val="24"/>
          <w:szCs w:val="24"/>
        </w:rPr>
        <w:t>）甲方有丧失或者可能丧失履行债务能力的其他情形。</w:t>
      </w:r>
    </w:p>
    <w:p>
      <w:pPr>
        <w:spacing w:line="360" w:lineRule="auto"/>
        <w:rPr>
          <w:rFonts w:ascii="宋体" w:hAnsi="宋体" w:eastAsia="宋体" w:cs="宋体"/>
          <w:sz w:val="24"/>
          <w:szCs w:val="24"/>
        </w:rPr>
      </w:pPr>
      <w:r>
        <w:rPr>
          <w:rFonts w:ascii="仿宋" w:hAnsi="仿宋" w:eastAsia="仿宋" w:cs="仿宋"/>
          <w:sz w:val="24"/>
          <w:szCs w:val="24"/>
        </w:rPr>
        <w:t xml:space="preserve">    8.2.12 如甲方发生上述8.2.11</w:t>
      </w:r>
      <w:r>
        <w:rPr>
          <w:rFonts w:hint="eastAsia" w:ascii="仿宋" w:hAnsi="仿宋" w:eastAsia="仿宋" w:cs="仿宋"/>
          <w:sz w:val="24"/>
          <w:szCs w:val="24"/>
        </w:rPr>
        <w:t>（1）项所述情形时，甲方经与乙方沟通，并由甲方提供银行承兑保函的，乙方可以在甲方的请求下继续履行本合同，并有权根据实际发生的服务费从保函的价值中自行扣除。</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九、违约责任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9.1甲方未按时足额向乙方支付服务费用的，每逾期一日按照拖欠费用金额的 5‰ 向</w:t>
      </w:r>
    </w:p>
    <w:p>
      <w:pPr>
        <w:spacing w:line="360" w:lineRule="auto"/>
        <w:rPr>
          <w:rFonts w:ascii="仿宋" w:hAnsi="仿宋" w:eastAsia="仿宋" w:cs="仿宋"/>
          <w:sz w:val="24"/>
          <w:szCs w:val="24"/>
        </w:rPr>
      </w:pPr>
      <w:r>
        <w:rPr>
          <w:rFonts w:hint="eastAsia" w:ascii="仿宋" w:hAnsi="仿宋" w:eastAsia="仿宋" w:cs="仿宋"/>
          <w:sz w:val="24"/>
          <w:szCs w:val="24"/>
        </w:rPr>
        <w:t>乙方支付违约金。若因甲方不履行支付义务或者怠于履行支付义务、履行义务不符合要求而</w:t>
      </w:r>
    </w:p>
    <w:p>
      <w:pPr>
        <w:spacing w:line="360" w:lineRule="auto"/>
        <w:rPr>
          <w:rFonts w:ascii="仿宋" w:hAnsi="仿宋" w:eastAsia="仿宋" w:cs="仿宋"/>
          <w:sz w:val="24"/>
          <w:szCs w:val="24"/>
        </w:rPr>
      </w:pPr>
      <w:r>
        <w:rPr>
          <w:rFonts w:hint="eastAsia" w:ascii="仿宋" w:hAnsi="仿宋" w:eastAsia="仿宋" w:cs="仿宋"/>
          <w:sz w:val="24"/>
          <w:szCs w:val="24"/>
        </w:rPr>
        <w:t>导致乙方通过司法途径获得相应服务费用的，甲方应支付乙方因此产生的一切费用，包括但不仅限于律师费、差旅费、鉴定费、勘验费、保全费、公证费等。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9.2因甲方托寄物质量缺陷或包装破损，致使其他托寄物品、车辆工具、机械设备被污染腐蚀、损坏，或造成人身伤亡的，甲方应承担全部赔偿责任并向乙方支付不低于5万元的违约金。</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9.3因甲方托寄物属于或含有禁止或限制寄递物品而被查没、扣留或变更配送路线，导致其他托寄物时效延误或价值丧失，给乙方或第三人造成经济损失或其他损失的，甲方应承担赔偿责任及其他法律责任并向乙方支付不低于5万元的违约金。</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9.4甲方没有按照有关承运货物包装标准对货物进行包装，由此导致的货物破损，其责任由甲方承担。甲方委托乙方包装的货物，如乙方负责的外包装无破损痕迹而内件货物破损的，视为甲方内包装不当引起的货物破损，乙方不承担任何赔偿责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9.5甲方选择签单返还服务时，若因乙方原因导致签收回单毁损或者丢失的，乙方承担的责任仅限于免费提供一次签单返还服务作为赔偿，甲方不得以回单没有返还为由拒绝对账和支付乙方的服务费。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9.6甲方委托乙方代收货款的数额不代表相对应的托寄物的实际价值。托寄物发生毁损、灭失、短少等情形的赔偿额按照本合同的相关条款解决，与代收货款无关。乙方代收货款的时间为托寄物的派送时间；付款人不支付货款的，乙方不承担货款无法收回的责任；甲方和付款人的纠纷由甲方自行解决。</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9.7乙方收取的到付托寄物，如在派送过程中收件人拒付费用，则由甲方承担因此给乙方造成的损失。如乙方按照通常派送方式而造成延误派送的，乙方给付甲方的赔偿责任仅限于本次服务费（不含保价等附加费用）。</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十、 不可抗力</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10.1就本合同而言，双方同意不可抗力系指不能预见、不能避免并不能克服的客观情形或意外事件，包括但不限于严重的自然灾害（如地震、洪水、泥石流等自然灾害）；恶劣的天气（台风、暴雪雨、严重雾霾等）；严重的社会混乱（如罢工、战争、流行病、恐怖袭击或民乱）；中国中央政府/地方政府的主管部门或机关颁布的在根本上妨碍本合同履行的法</w:t>
      </w:r>
    </w:p>
    <w:p>
      <w:pPr>
        <w:spacing w:line="360" w:lineRule="auto"/>
        <w:rPr>
          <w:rFonts w:ascii="仿宋" w:hAnsi="仿宋" w:eastAsia="仿宋" w:cs="仿宋"/>
          <w:sz w:val="24"/>
          <w:szCs w:val="24"/>
        </w:rPr>
      </w:pPr>
      <w:r>
        <w:rPr>
          <w:rFonts w:hint="eastAsia" w:ascii="仿宋" w:hAnsi="仿宋" w:eastAsia="仿宋" w:cs="仿宋"/>
          <w:sz w:val="24"/>
          <w:szCs w:val="24"/>
        </w:rPr>
        <w:t xml:space="preserve">律、法规及相关政策；航班延误取消等机场因素发生的时效延误等。 </w:t>
      </w:r>
      <w:r>
        <w:rPr>
          <w:rFonts w:hint="eastAsia" w:ascii="仿宋" w:hAnsi="仿宋" w:eastAsia="仿宋" w:cs="仿宋"/>
          <w:sz w:val="24"/>
          <w:szCs w:val="24"/>
        </w:rPr>
        <w:tab/>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10.2如发生不可抗力事件，受不可抗力事件影响的一方在本合同项下的义务在不可抗力造成的延误期内应中止履行，并按中止的时间自动顺延履行其义务，根据不可抗力造成的影响，双方互不担责。</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10.3宣称发生不可抗力的一方应在发生不可抗力事件后立即书面通知另一方，并在其后十天内提供不可抗力发生和持续时间及该不可抗力对该方履行本合同之影响的充分证据。此外，宣称发生不可抗力的一方应尽一切努力将不可抗力事件影响降到最低。</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十一、免责条款</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11.1因交通堵塞、交通意外、恶劣天气、自然灾害、政府管制、战争等不可抗力或非乙方所能控制的意外事件，致使延迟派送或者造成托寄物毁损、灭失或者内件短少的，乙方不承担赔偿责任。</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11.2 因托寄物本身的自然属性、合理损耗或寄/收方/第三人过错造成的损失，乙方不承担赔偿责任。</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11.3因包装不良造成托寄物损失，乙方不承担赔偿责任。</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11.4如果甲方对易碎品（例如陶瓷、玻璃、灯具、液晶屏、显示器等易碎品）以及含有易碎品部件的物品没有购买保价运输服务的，乙方不承担赔偿责任。</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 xml:space="preserve">11.5因托寄物本身的内在缺陷以及电子产品、磁带、磁片等因电磁而影响其正常使用的，乙方不承担赔偿责任。   </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11.6承运人尽到了适当的谨慎未能发现托寄物中藏匿不承运托寄物，致使托寄物毁损、灭失的，乙方不承担责任。</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11.7 政府或者主管部门的检查行为、检疫限制或者司法扣押等，致使延迟派送的或毁损、灭失的，乙方不承担责任。</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十二、保密条款</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 12.1甲乙双方均须严格保守在履行本合同过程中获知的对方的商业秘密，不得超出本合同目的使用商业秘密信息、资料，并不得向第三方披露以及许可使用第三方使用，且对其在职员工或者签订本合同后离职的员工违反本合同约定的保密行为承担连带责任。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12.2甲方有违反上述保密条款的行为，一经发现，乙方有权对其托寄物行使留置权，</w:t>
      </w:r>
    </w:p>
    <w:p>
      <w:pPr>
        <w:spacing w:line="360" w:lineRule="auto"/>
        <w:rPr>
          <w:rFonts w:ascii="仿宋" w:hAnsi="仿宋" w:eastAsia="仿宋" w:cs="仿宋"/>
          <w:sz w:val="24"/>
          <w:szCs w:val="24"/>
        </w:rPr>
      </w:pPr>
      <w:r>
        <w:rPr>
          <w:rFonts w:hint="eastAsia" w:ascii="仿宋" w:hAnsi="仿宋" w:eastAsia="仿宋" w:cs="仿宋"/>
          <w:sz w:val="24"/>
          <w:szCs w:val="24"/>
        </w:rPr>
        <w:t>待甲方承担违约责任后再按合同约定提供服务。甲方应承担如下违约责任：支付乙方违约金</w:t>
      </w:r>
    </w:p>
    <w:p>
      <w:pPr>
        <w:spacing w:line="360" w:lineRule="auto"/>
        <w:rPr>
          <w:rFonts w:ascii="仿宋" w:hAnsi="仿宋" w:eastAsia="仿宋" w:cs="仿宋"/>
          <w:sz w:val="24"/>
          <w:szCs w:val="24"/>
        </w:rPr>
      </w:pPr>
      <w:r>
        <w:rPr>
          <w:rFonts w:hint="eastAsia" w:ascii="仿宋" w:hAnsi="仿宋" w:eastAsia="仿宋" w:cs="仿宋"/>
          <w:sz w:val="24"/>
          <w:szCs w:val="24"/>
        </w:rPr>
        <w:t>20万元人民币，并按照违约行为给乙方造成的损失和（或）甲方因违约行为获得的全部非法收益向乙方支付赔偿金。乙方有权根据甲方违约披露相关信息的实际价值和甲方因违约行为获得的非法收益计算总额，达到法定刑事立案标准的，乙方有权依法追究其刑事责任。</w:t>
      </w:r>
    </w:p>
    <w:p>
      <w:pPr>
        <w:spacing w:line="360" w:lineRule="auto"/>
        <w:ind w:firstLine="482" w:firstLineChars="200"/>
        <w:rPr>
          <w:rFonts w:ascii="仿宋" w:hAnsi="仿宋" w:eastAsia="仿宋" w:cs="仿宋"/>
          <w:b/>
          <w:bCs/>
          <w:kern w:val="0"/>
          <w:sz w:val="24"/>
          <w:szCs w:val="24"/>
          <w:shd w:val="clear" w:color="auto" w:fill="FFFFFF"/>
        </w:rPr>
      </w:pPr>
      <w:r>
        <w:rPr>
          <w:rFonts w:hint="eastAsia" w:ascii="仿宋" w:hAnsi="仿宋" w:eastAsia="仿宋" w:cs="仿宋"/>
          <w:b/>
          <w:bCs/>
          <w:kern w:val="0"/>
          <w:sz w:val="24"/>
          <w:szCs w:val="24"/>
          <w:shd w:val="clear" w:color="auto" w:fill="FFFFFF"/>
        </w:rPr>
        <w:t>十三、通知送达</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13.1 履行本合同所发出的通知应以书面形式进行。通知应以中文书写，可经专人递交，或以（预付邮资的）挂号信件、合法的快递服务、传真、电子邮件、短信等方式进行发送。双方确认的具体业务对接人及联系方式如下：</w:t>
      </w:r>
      <w:r>
        <w:commentReference w:id="8"/>
      </w:r>
    </w:p>
    <w:tbl>
      <w:tblPr>
        <w:tblStyle w:val="7"/>
        <w:tblW w:w="9435"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080"/>
        <w:gridCol w:w="795"/>
        <w:gridCol w:w="2040"/>
        <w:gridCol w:w="705"/>
        <w:gridCol w:w="1185"/>
        <w:gridCol w:w="75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0" w:type="dxa"/>
            <w:gridSpan w:val="4"/>
          </w:tcPr>
          <w:p>
            <w:pPr>
              <w:spacing w:line="360" w:lineRule="auto"/>
              <w:ind w:firstLine="482" w:firstLineChars="200"/>
              <w:rPr>
                <w:rFonts w:ascii="仿宋" w:hAnsi="仿宋" w:eastAsia="仿宋" w:cs="仿宋"/>
                <w:sz w:val="24"/>
                <w:szCs w:val="24"/>
              </w:rPr>
            </w:pPr>
            <w:r>
              <w:rPr>
                <w:rFonts w:hint="eastAsia" w:ascii="仿宋" w:hAnsi="仿宋" w:eastAsia="仿宋" w:cs="仿宋"/>
                <w:b/>
                <w:bCs/>
                <w:sz w:val="24"/>
                <w:szCs w:val="24"/>
              </w:rPr>
              <w:t>甲方业务对接人及联系方式</w:t>
            </w:r>
          </w:p>
        </w:tc>
        <w:tc>
          <w:tcPr>
            <w:tcW w:w="4785" w:type="dxa"/>
            <w:gridSpan w:val="4"/>
          </w:tcPr>
          <w:p>
            <w:pPr>
              <w:spacing w:line="360" w:lineRule="auto"/>
              <w:ind w:firstLine="482" w:firstLineChars="200"/>
              <w:rPr>
                <w:rFonts w:ascii="仿宋" w:hAnsi="仿宋" w:eastAsia="仿宋" w:cs="仿宋"/>
                <w:sz w:val="24"/>
                <w:szCs w:val="24"/>
              </w:rPr>
            </w:pPr>
            <w:r>
              <w:rPr>
                <w:rFonts w:hint="eastAsia" w:ascii="仿宋" w:hAnsi="仿宋" w:eastAsia="仿宋" w:cs="仿宋"/>
                <w:b/>
                <w:bCs/>
                <w:sz w:val="24"/>
                <w:szCs w:val="24"/>
              </w:rPr>
              <w:t>乙方业务对接人及联系方式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pPr>
              <w:spacing w:line="360" w:lineRule="auto"/>
              <w:rPr>
                <w:rFonts w:ascii="仿宋" w:hAnsi="仿宋" w:eastAsia="仿宋" w:cs="仿宋"/>
                <w:sz w:val="24"/>
                <w:szCs w:val="24"/>
              </w:rPr>
            </w:pPr>
            <w:r>
              <w:rPr>
                <w:rFonts w:hint="eastAsia" w:ascii="仿宋" w:hAnsi="仿宋" w:eastAsia="仿宋" w:cs="仿宋"/>
                <w:sz w:val="24"/>
                <w:szCs w:val="24"/>
              </w:rPr>
              <w:t>姓名</w:t>
            </w:r>
          </w:p>
        </w:tc>
        <w:tc>
          <w:tcPr>
            <w:tcW w:w="1080" w:type="dxa"/>
          </w:tcPr>
          <w:p>
            <w:pPr>
              <w:spacing w:line="360" w:lineRule="auto"/>
              <w:ind w:firstLine="480" w:firstLineChars="200"/>
              <w:rPr>
                <w:rFonts w:ascii="仿宋" w:hAnsi="仿宋" w:eastAsia="仿宋" w:cs="仿宋"/>
                <w:sz w:val="24"/>
                <w:szCs w:val="24"/>
              </w:rPr>
            </w:pPr>
          </w:p>
        </w:tc>
        <w:tc>
          <w:tcPr>
            <w:tcW w:w="795" w:type="dxa"/>
          </w:tcPr>
          <w:p>
            <w:pPr>
              <w:spacing w:line="360" w:lineRule="auto"/>
              <w:rPr>
                <w:rFonts w:ascii="仿宋" w:hAnsi="仿宋" w:eastAsia="仿宋" w:cs="仿宋"/>
                <w:sz w:val="24"/>
                <w:szCs w:val="24"/>
              </w:rPr>
            </w:pPr>
            <w:r>
              <w:rPr>
                <w:rFonts w:hint="eastAsia" w:ascii="仿宋" w:hAnsi="仿宋" w:eastAsia="仿宋" w:cs="仿宋"/>
                <w:sz w:val="24"/>
                <w:szCs w:val="24"/>
              </w:rPr>
              <w:t>传真</w:t>
            </w:r>
          </w:p>
        </w:tc>
        <w:tc>
          <w:tcPr>
            <w:tcW w:w="2040" w:type="dxa"/>
          </w:tcPr>
          <w:p>
            <w:pPr>
              <w:spacing w:line="360" w:lineRule="auto"/>
              <w:ind w:firstLine="480" w:firstLineChars="200"/>
              <w:rPr>
                <w:rFonts w:ascii="仿宋" w:hAnsi="仿宋" w:eastAsia="仿宋" w:cs="仿宋"/>
                <w:sz w:val="24"/>
                <w:szCs w:val="24"/>
              </w:rPr>
            </w:pPr>
          </w:p>
        </w:tc>
        <w:tc>
          <w:tcPr>
            <w:tcW w:w="705" w:type="dxa"/>
          </w:tcPr>
          <w:p>
            <w:pPr>
              <w:spacing w:line="360" w:lineRule="auto"/>
              <w:rPr>
                <w:rFonts w:ascii="仿宋" w:hAnsi="仿宋" w:eastAsia="仿宋" w:cs="仿宋"/>
                <w:sz w:val="24"/>
                <w:szCs w:val="24"/>
              </w:rPr>
            </w:pPr>
            <w:r>
              <w:rPr>
                <w:rFonts w:hint="eastAsia" w:ascii="仿宋" w:hAnsi="仿宋" w:eastAsia="仿宋" w:cs="仿宋"/>
                <w:sz w:val="24"/>
                <w:szCs w:val="24"/>
              </w:rPr>
              <w:t>姓名</w:t>
            </w:r>
          </w:p>
        </w:tc>
        <w:tc>
          <w:tcPr>
            <w:tcW w:w="1185" w:type="dxa"/>
          </w:tcPr>
          <w:p>
            <w:pPr>
              <w:spacing w:line="360" w:lineRule="auto"/>
              <w:ind w:firstLine="480" w:firstLineChars="200"/>
              <w:rPr>
                <w:rFonts w:ascii="仿宋" w:hAnsi="仿宋" w:eastAsia="仿宋" w:cs="仿宋"/>
                <w:sz w:val="24"/>
                <w:szCs w:val="24"/>
              </w:rPr>
            </w:pPr>
          </w:p>
        </w:tc>
        <w:tc>
          <w:tcPr>
            <w:tcW w:w="750" w:type="dxa"/>
          </w:tcPr>
          <w:p>
            <w:pPr>
              <w:spacing w:line="360" w:lineRule="auto"/>
              <w:rPr>
                <w:rFonts w:ascii="仿宋" w:hAnsi="仿宋" w:eastAsia="仿宋" w:cs="仿宋"/>
                <w:sz w:val="24"/>
                <w:szCs w:val="24"/>
              </w:rPr>
            </w:pPr>
            <w:r>
              <w:rPr>
                <w:rFonts w:hint="eastAsia" w:ascii="仿宋" w:hAnsi="仿宋" w:eastAsia="仿宋" w:cs="仿宋"/>
                <w:sz w:val="24"/>
                <w:szCs w:val="24"/>
              </w:rPr>
              <w:t>传真</w:t>
            </w:r>
          </w:p>
        </w:tc>
        <w:tc>
          <w:tcPr>
            <w:tcW w:w="2145" w:type="dxa"/>
          </w:tcPr>
          <w:p>
            <w:pPr>
              <w:spacing w:line="360" w:lineRule="auto"/>
              <w:ind w:firstLine="480" w:firstLineChars="2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pPr>
              <w:spacing w:line="360" w:lineRule="auto"/>
              <w:rPr>
                <w:rFonts w:ascii="仿宋" w:hAnsi="仿宋" w:eastAsia="仿宋" w:cs="仿宋"/>
                <w:sz w:val="24"/>
                <w:szCs w:val="24"/>
              </w:rPr>
            </w:pPr>
            <w:r>
              <w:rPr>
                <w:rFonts w:hint="eastAsia" w:ascii="仿宋" w:hAnsi="仿宋" w:eastAsia="仿宋" w:cs="仿宋"/>
                <w:sz w:val="24"/>
                <w:szCs w:val="24"/>
              </w:rPr>
              <w:t>职务</w:t>
            </w:r>
          </w:p>
        </w:tc>
        <w:tc>
          <w:tcPr>
            <w:tcW w:w="1080" w:type="dxa"/>
          </w:tcPr>
          <w:p>
            <w:pPr>
              <w:spacing w:line="360" w:lineRule="auto"/>
              <w:ind w:firstLine="480" w:firstLineChars="200"/>
              <w:rPr>
                <w:rFonts w:ascii="仿宋" w:hAnsi="仿宋" w:eastAsia="仿宋" w:cs="仿宋"/>
                <w:sz w:val="24"/>
                <w:szCs w:val="24"/>
              </w:rPr>
            </w:pPr>
          </w:p>
        </w:tc>
        <w:tc>
          <w:tcPr>
            <w:tcW w:w="795" w:type="dxa"/>
          </w:tcPr>
          <w:p>
            <w:pPr>
              <w:spacing w:line="360" w:lineRule="auto"/>
              <w:rPr>
                <w:rFonts w:ascii="仿宋" w:hAnsi="仿宋" w:eastAsia="仿宋" w:cs="仿宋"/>
                <w:sz w:val="24"/>
                <w:szCs w:val="24"/>
              </w:rPr>
            </w:pPr>
            <w:r>
              <w:rPr>
                <w:rFonts w:hint="eastAsia" w:ascii="仿宋" w:hAnsi="仿宋" w:eastAsia="仿宋" w:cs="仿宋"/>
                <w:sz w:val="24"/>
                <w:szCs w:val="24"/>
              </w:rPr>
              <w:t>座机</w:t>
            </w:r>
          </w:p>
        </w:tc>
        <w:tc>
          <w:tcPr>
            <w:tcW w:w="2040" w:type="dxa"/>
          </w:tcPr>
          <w:p>
            <w:pPr>
              <w:spacing w:line="360" w:lineRule="auto"/>
              <w:ind w:firstLine="480" w:firstLineChars="200"/>
              <w:rPr>
                <w:rFonts w:ascii="仿宋" w:hAnsi="仿宋" w:eastAsia="仿宋" w:cs="仿宋"/>
                <w:sz w:val="24"/>
                <w:szCs w:val="24"/>
              </w:rPr>
            </w:pPr>
          </w:p>
        </w:tc>
        <w:tc>
          <w:tcPr>
            <w:tcW w:w="705" w:type="dxa"/>
          </w:tcPr>
          <w:p>
            <w:pPr>
              <w:spacing w:line="360" w:lineRule="auto"/>
              <w:rPr>
                <w:rFonts w:ascii="仿宋" w:hAnsi="仿宋" w:eastAsia="仿宋" w:cs="仿宋"/>
                <w:sz w:val="24"/>
                <w:szCs w:val="24"/>
              </w:rPr>
            </w:pPr>
            <w:r>
              <w:rPr>
                <w:rFonts w:hint="eastAsia" w:ascii="仿宋" w:hAnsi="仿宋" w:eastAsia="仿宋" w:cs="仿宋"/>
                <w:sz w:val="24"/>
                <w:szCs w:val="24"/>
              </w:rPr>
              <w:t>职务</w:t>
            </w:r>
          </w:p>
        </w:tc>
        <w:tc>
          <w:tcPr>
            <w:tcW w:w="1185" w:type="dxa"/>
          </w:tcPr>
          <w:p>
            <w:pPr>
              <w:spacing w:line="360" w:lineRule="auto"/>
              <w:ind w:firstLine="480" w:firstLineChars="200"/>
              <w:rPr>
                <w:rFonts w:ascii="仿宋" w:hAnsi="仿宋" w:eastAsia="仿宋" w:cs="仿宋"/>
                <w:sz w:val="24"/>
                <w:szCs w:val="24"/>
              </w:rPr>
            </w:pPr>
          </w:p>
        </w:tc>
        <w:tc>
          <w:tcPr>
            <w:tcW w:w="750" w:type="dxa"/>
          </w:tcPr>
          <w:p>
            <w:pPr>
              <w:spacing w:line="360" w:lineRule="auto"/>
              <w:rPr>
                <w:rFonts w:ascii="仿宋" w:hAnsi="仿宋" w:eastAsia="仿宋" w:cs="仿宋"/>
                <w:sz w:val="24"/>
                <w:szCs w:val="24"/>
              </w:rPr>
            </w:pPr>
            <w:r>
              <w:rPr>
                <w:rFonts w:hint="eastAsia" w:ascii="仿宋" w:hAnsi="仿宋" w:eastAsia="仿宋" w:cs="仿宋"/>
                <w:sz w:val="24"/>
                <w:szCs w:val="24"/>
              </w:rPr>
              <w:t>座机</w:t>
            </w:r>
          </w:p>
        </w:tc>
        <w:tc>
          <w:tcPr>
            <w:tcW w:w="2145" w:type="dxa"/>
          </w:tcPr>
          <w:p>
            <w:pPr>
              <w:spacing w:line="360" w:lineRule="auto"/>
              <w:ind w:firstLine="480" w:firstLineChars="2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pPr>
              <w:spacing w:line="360" w:lineRule="auto"/>
              <w:rPr>
                <w:rFonts w:ascii="仿宋" w:hAnsi="仿宋" w:eastAsia="仿宋" w:cs="仿宋"/>
                <w:sz w:val="24"/>
                <w:szCs w:val="24"/>
              </w:rPr>
            </w:pPr>
            <w:r>
              <w:rPr>
                <w:rFonts w:hint="eastAsia" w:ascii="仿宋" w:hAnsi="仿宋" w:eastAsia="仿宋" w:cs="仿宋"/>
                <w:sz w:val="24"/>
                <w:szCs w:val="24"/>
              </w:rPr>
              <w:t>手机</w:t>
            </w:r>
          </w:p>
        </w:tc>
        <w:tc>
          <w:tcPr>
            <w:tcW w:w="1080" w:type="dxa"/>
          </w:tcPr>
          <w:p>
            <w:pPr>
              <w:spacing w:line="360" w:lineRule="auto"/>
              <w:ind w:firstLine="480" w:firstLineChars="200"/>
              <w:rPr>
                <w:rFonts w:ascii="仿宋" w:hAnsi="仿宋" w:eastAsia="仿宋" w:cs="仿宋"/>
                <w:sz w:val="24"/>
                <w:szCs w:val="24"/>
              </w:rPr>
            </w:pPr>
          </w:p>
        </w:tc>
        <w:tc>
          <w:tcPr>
            <w:tcW w:w="795" w:type="dxa"/>
          </w:tcPr>
          <w:p>
            <w:pPr>
              <w:spacing w:line="360" w:lineRule="auto"/>
              <w:rPr>
                <w:rFonts w:ascii="仿宋" w:hAnsi="仿宋" w:eastAsia="仿宋" w:cs="仿宋"/>
                <w:sz w:val="24"/>
                <w:szCs w:val="24"/>
              </w:rPr>
            </w:pPr>
            <w:r>
              <w:rPr>
                <w:rFonts w:hint="eastAsia" w:ascii="仿宋" w:hAnsi="仿宋" w:eastAsia="仿宋" w:cs="仿宋"/>
                <w:sz w:val="24"/>
                <w:szCs w:val="24"/>
              </w:rPr>
              <w:t>邮箱</w:t>
            </w:r>
          </w:p>
        </w:tc>
        <w:tc>
          <w:tcPr>
            <w:tcW w:w="2040" w:type="dxa"/>
          </w:tcPr>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tc>
        <w:tc>
          <w:tcPr>
            <w:tcW w:w="705" w:type="dxa"/>
          </w:tcPr>
          <w:p>
            <w:pPr>
              <w:spacing w:line="360" w:lineRule="auto"/>
              <w:rPr>
                <w:rFonts w:ascii="仿宋" w:hAnsi="仿宋" w:eastAsia="仿宋" w:cs="仿宋"/>
                <w:sz w:val="24"/>
                <w:szCs w:val="24"/>
              </w:rPr>
            </w:pPr>
            <w:r>
              <w:rPr>
                <w:rFonts w:hint="eastAsia" w:ascii="仿宋" w:hAnsi="仿宋" w:eastAsia="仿宋" w:cs="仿宋"/>
                <w:sz w:val="24"/>
                <w:szCs w:val="24"/>
              </w:rPr>
              <w:t>手机</w:t>
            </w:r>
          </w:p>
        </w:tc>
        <w:tc>
          <w:tcPr>
            <w:tcW w:w="1185" w:type="dxa"/>
          </w:tcPr>
          <w:p>
            <w:pPr>
              <w:spacing w:line="360" w:lineRule="auto"/>
              <w:ind w:firstLine="480" w:firstLineChars="200"/>
              <w:rPr>
                <w:rFonts w:ascii="仿宋" w:hAnsi="仿宋" w:eastAsia="仿宋" w:cs="仿宋"/>
                <w:sz w:val="24"/>
                <w:szCs w:val="24"/>
              </w:rPr>
            </w:pPr>
          </w:p>
        </w:tc>
        <w:tc>
          <w:tcPr>
            <w:tcW w:w="750" w:type="dxa"/>
          </w:tcPr>
          <w:p>
            <w:pPr>
              <w:spacing w:line="360" w:lineRule="auto"/>
              <w:rPr>
                <w:rFonts w:ascii="仿宋" w:hAnsi="仿宋" w:eastAsia="仿宋" w:cs="仿宋"/>
                <w:sz w:val="24"/>
                <w:szCs w:val="24"/>
              </w:rPr>
            </w:pPr>
            <w:r>
              <w:rPr>
                <w:rFonts w:hint="eastAsia" w:ascii="仿宋" w:hAnsi="仿宋" w:eastAsia="仿宋" w:cs="仿宋"/>
                <w:sz w:val="24"/>
                <w:szCs w:val="24"/>
              </w:rPr>
              <w:t>邮箱</w:t>
            </w:r>
          </w:p>
        </w:tc>
        <w:tc>
          <w:tcPr>
            <w:tcW w:w="2145" w:type="dxa"/>
          </w:tcPr>
          <w:p>
            <w:pPr>
              <w:spacing w:line="360" w:lineRule="auto"/>
              <w:ind w:firstLine="480" w:firstLineChars="2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pPr>
              <w:spacing w:line="360" w:lineRule="auto"/>
              <w:rPr>
                <w:rFonts w:ascii="仿宋" w:hAnsi="仿宋" w:eastAsia="仿宋" w:cs="仿宋"/>
                <w:sz w:val="24"/>
                <w:szCs w:val="24"/>
              </w:rPr>
            </w:pPr>
            <w:r>
              <w:rPr>
                <w:rFonts w:hint="eastAsia" w:ascii="仿宋" w:hAnsi="仿宋" w:eastAsia="仿宋" w:cs="仿宋"/>
                <w:sz w:val="24"/>
                <w:szCs w:val="24"/>
              </w:rPr>
              <w:t>地址</w:t>
            </w:r>
          </w:p>
        </w:tc>
        <w:tc>
          <w:tcPr>
            <w:tcW w:w="3915" w:type="dxa"/>
            <w:gridSpan w:val="3"/>
          </w:tcPr>
          <w:p>
            <w:pPr>
              <w:spacing w:line="360" w:lineRule="auto"/>
              <w:ind w:firstLine="480" w:firstLineChars="200"/>
              <w:rPr>
                <w:rFonts w:ascii="仿宋" w:hAnsi="仿宋" w:eastAsia="仿宋" w:cs="仿宋"/>
                <w:sz w:val="24"/>
                <w:szCs w:val="24"/>
              </w:rPr>
            </w:pPr>
          </w:p>
        </w:tc>
        <w:tc>
          <w:tcPr>
            <w:tcW w:w="705" w:type="dxa"/>
          </w:tcPr>
          <w:p>
            <w:pPr>
              <w:spacing w:line="360" w:lineRule="auto"/>
              <w:rPr>
                <w:rFonts w:ascii="仿宋" w:hAnsi="仿宋" w:eastAsia="仿宋" w:cs="仿宋"/>
                <w:sz w:val="24"/>
                <w:szCs w:val="24"/>
              </w:rPr>
            </w:pPr>
            <w:r>
              <w:rPr>
                <w:rFonts w:hint="eastAsia" w:ascii="仿宋" w:hAnsi="仿宋" w:eastAsia="仿宋" w:cs="仿宋"/>
                <w:sz w:val="24"/>
                <w:szCs w:val="24"/>
              </w:rPr>
              <w:t>地址</w:t>
            </w:r>
          </w:p>
        </w:tc>
        <w:tc>
          <w:tcPr>
            <w:tcW w:w="4080" w:type="dxa"/>
            <w:gridSpan w:val="3"/>
          </w:tcPr>
          <w:p>
            <w:pPr>
              <w:spacing w:line="360" w:lineRule="auto"/>
              <w:ind w:firstLine="480" w:firstLineChars="200"/>
              <w:rPr>
                <w:rFonts w:ascii="仿宋" w:hAnsi="仿宋" w:eastAsia="仿宋" w:cs="仿宋"/>
                <w:sz w:val="24"/>
                <w:szCs w:val="24"/>
              </w:rPr>
            </w:pPr>
          </w:p>
        </w:tc>
      </w:tr>
    </w:tbl>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13.2 在本合同有效期内, 任何一方均有权在任何时候以书面形式通知另一方变更其接收通知的业务对接人、地址、手机、座机、邮箱、传真号码。上述变更在变更通知送达另一方后生效。</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13.3通知被视为送达的日期应按如下方法确定：</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13.3.1专人递交的通知在专人递交之时视为有效送达；</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13.3.2以（预付邮资的）挂号信件发出的通知，在寄出日（以邮戳为准）后第七日视为有效送达；</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13.3.3以快递方式发出的通知，在快递服务商发出后第三日视为有效送达；</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13.3.4以图文传真发出的通知，在传送日后第一个工作日视为有效送达；</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13.3.5以邮件、手机短信方式进行送达的以接收邮件或者短信的系统或者装置接收到信息的时间为有效送达时间。</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十四、争议解决</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14.1本合同未尽事宜，双方应友好协商签订补充协议。补充协议与本合同具有同等法</w:t>
      </w:r>
    </w:p>
    <w:p>
      <w:pPr>
        <w:spacing w:line="360" w:lineRule="auto"/>
        <w:rPr>
          <w:rFonts w:ascii="仿宋" w:hAnsi="仿宋" w:eastAsia="仿宋" w:cs="仿宋"/>
          <w:sz w:val="24"/>
          <w:szCs w:val="24"/>
        </w:rPr>
      </w:pPr>
      <w:r>
        <w:rPr>
          <w:rFonts w:hint="eastAsia" w:ascii="仿宋" w:hAnsi="仿宋" w:eastAsia="仿宋" w:cs="仿宋"/>
          <w:sz w:val="24"/>
          <w:szCs w:val="24"/>
        </w:rPr>
        <w:t>律效力。</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14.2凡因本合同引起的或与本合同有关的任何争议，双方首先应友好协商，协商不成的，任何一方均可</w:t>
      </w:r>
      <w:r>
        <w:rPr>
          <w:rFonts w:hint="eastAsia" w:ascii="仿宋" w:hAnsi="仿宋" w:eastAsia="仿宋" w:cs="仿宋"/>
          <w:sz w:val="24"/>
          <w:szCs w:val="24"/>
          <w:lang w:val="en-US" w:eastAsia="zh-CN"/>
        </w:rPr>
        <w:t>向原告</w:t>
      </w:r>
      <w:r>
        <w:rPr>
          <w:rFonts w:hint="eastAsia" w:ascii="仿宋" w:hAnsi="仿宋" w:eastAsia="仿宋" w:cs="仿宋"/>
          <w:sz w:val="24"/>
          <w:szCs w:val="24"/>
        </w:rPr>
        <w:t>所在地人民法院起诉；并由败诉方承担为解决本争议而产生的合理费用（包括但不限于律师费、财产保全担保费等）。</w:t>
      </w:r>
    </w:p>
    <w:p>
      <w:pPr>
        <w:spacing w:line="360" w:lineRule="auto"/>
        <w:ind w:firstLine="482" w:firstLineChars="200"/>
        <w:rPr>
          <w:rFonts w:ascii="仿宋" w:hAnsi="仿宋" w:eastAsia="仿宋" w:cs="仿宋"/>
          <w:b/>
          <w:bCs/>
          <w:sz w:val="24"/>
          <w:szCs w:val="24"/>
        </w:rPr>
      </w:pPr>
      <w:bookmarkStart w:id="4" w:name="_GoBack"/>
      <w:bookmarkEnd w:id="4"/>
      <w:r>
        <w:rPr>
          <w:rFonts w:hint="eastAsia" w:ascii="仿宋" w:hAnsi="仿宋" w:eastAsia="仿宋" w:cs="仿宋"/>
          <w:b/>
          <w:bCs/>
          <w:sz w:val="24"/>
          <w:szCs w:val="24"/>
        </w:rPr>
        <w:t>十五、生效及终止</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15.1合同期内甲乙双方不得擅自变更、解除或终止合同，如果确有特殊原因不能继续履行或者需要变更时，需经甲乙双方书面同意。变更、解除或终止必须提前30天提出书面意见与对方协商，双方协商一致可以变更、解除或终止本合同。因上述原因解除、终止合同的，甲方应赔偿乙方因此支付的费用（包括但不限于乙方为提供服务投入的成本准备等）和产生的损失。</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15.2本合同解除、终止后，甲方应立即将所欠乙方所有费用全额向乙方支付，逾期支付的需承担违约责任。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15.3本合同一式贰份，甲乙双方各持壹份，经双方签字盖章后生效，具有同等法律效力。合同附件（《不承保托寄物目录》《寄递物品安全保障协议书》《报价表》《阳光条款》《合同签署授权委托书》《身份证复印件》）作为本合同重要组成部分，与本合同具有同等法律效力。</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双方确认：本合同是双方协商一致的结果，且本合同（包括附件）中以加黑、下划线等方式标注的免除或者限制责任的条款，乙方已提醒甲方注意并按照甲方的要求对这些条款予以说明，甲方已阅读、理解这些条款，并严格按照这些条款履行。</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（以下无正文，为双方签署内容）</w:t>
      </w:r>
    </w:p>
    <w:p>
      <w:pPr>
        <w:spacing w:line="360" w:lineRule="auto"/>
        <w:ind w:firstLine="480" w:firstLineChars="200"/>
        <w:rPr>
          <w:rFonts w:ascii="仿宋" w:hAnsi="仿宋" w:eastAsia="仿宋" w:cs="仿宋"/>
          <w:sz w:val="24"/>
          <w:szCs w:val="24"/>
        </w:rPr>
      </w:pPr>
      <w:commentRangeStart w:id="9"/>
      <w:r>
        <w:rPr>
          <w:rFonts w:hint="eastAsia" w:ascii="仿宋" w:hAnsi="仿宋" w:eastAsia="仿宋" w:cs="仿宋"/>
          <w:sz w:val="24"/>
          <w:szCs w:val="24"/>
        </w:rPr>
        <w:t xml:space="preserve">甲方(盖章)：                            乙方(盖章)：  </w:t>
      </w:r>
      <w:commentRangeEnd w:id="9"/>
      <w:r>
        <w:commentReference w:id="9"/>
      </w:r>
      <w:r>
        <w:rPr>
          <w:rFonts w:hint="eastAsia" w:ascii="仿宋" w:hAnsi="仿宋" w:eastAsia="仿宋" w:cs="仿宋"/>
          <w:sz w:val="24"/>
          <w:szCs w:val="24"/>
        </w:rPr>
        <w:t xml:space="preserve">  </w:t>
      </w:r>
    </w:p>
    <w:p>
      <w:pPr>
        <w:spacing w:line="360" w:lineRule="auto"/>
        <w:ind w:firstLine="480" w:firstLineChars="200"/>
        <w:rPr>
          <w:rFonts w:ascii="仿宋" w:hAnsi="仿宋" w:eastAsia="仿宋" w:cs="仿宋"/>
          <w:sz w:val="24"/>
          <w:szCs w:val="24"/>
        </w:rPr>
      </w:pPr>
      <w:commentRangeStart w:id="10"/>
      <w:r>
        <w:rPr>
          <w:rFonts w:hint="eastAsia" w:ascii="仿宋" w:hAnsi="仿宋" w:eastAsia="仿宋" w:cs="仿宋"/>
          <w:sz w:val="24"/>
          <w:szCs w:val="24"/>
        </w:rPr>
        <w:t xml:space="preserve">授权代表（签字）：                       授权代表（签字）：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联系方式：                              联系方式：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联系邮箱：                              联系邮箱：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签订日期：                              签订日期：     </w:t>
      </w:r>
      <w:commentRangeEnd w:id="10"/>
      <w:r>
        <w:commentReference w:id="10"/>
      </w:r>
      <w:r>
        <w:rPr>
          <w:rFonts w:hint="eastAsia" w:ascii="仿宋" w:hAnsi="仿宋" w:eastAsia="仿宋" w:cs="仿宋"/>
          <w:sz w:val="24"/>
          <w:szCs w:val="24"/>
        </w:rPr>
        <w:t xml:space="preserve">                   </w:t>
      </w:r>
    </w:p>
    <w:p>
      <w:pPr>
        <w:rPr>
          <w:rFonts w:ascii="仿宋" w:hAnsi="仿宋" w:eastAsia="仿宋" w:cs="仿宋"/>
          <w:sz w:val="24"/>
          <w:szCs w:val="24"/>
        </w:rPr>
        <w:sectPr>
          <w:footerReference r:id="rId10" w:type="default"/>
          <w:pgSz w:w="11906" w:h="16838"/>
          <w:pgMar w:top="1361" w:right="907" w:bottom="1077" w:left="907" w:header="851" w:footer="992" w:gutter="567"/>
          <w:pgNumType w:start="1"/>
          <w:cols w:space="0" w:num="1"/>
          <w:docGrid w:type="lines" w:linePitch="318" w:charSpace="0"/>
        </w:sectPr>
      </w:pPr>
    </w:p>
    <w:p>
      <w:pPr>
        <w:spacing w:before="240" w:line="360" w:lineRule="auto"/>
        <w:rPr>
          <w:rFonts w:ascii="仿宋" w:hAnsi="仿宋" w:eastAsia="仿宋" w:cs="仿宋"/>
          <w:b/>
          <w:bCs/>
          <w:sz w:val="24"/>
          <w:szCs w:val="24"/>
        </w:rPr>
      </w:pPr>
      <w:r>
        <w:rPr>
          <w:rFonts w:hint="eastAsia" w:ascii="仿宋" w:hAnsi="仿宋" w:eastAsia="仿宋" w:cs="仿宋"/>
          <w:b/>
          <w:bCs/>
          <w:sz w:val="24"/>
          <w:szCs w:val="24"/>
        </w:rPr>
        <w:t>附件一：</w:t>
      </w:r>
    </w:p>
    <w:p>
      <w:pPr>
        <w:spacing w:before="240" w:line="360" w:lineRule="auto"/>
        <w:ind w:firstLine="1205" w:firstLineChars="500"/>
        <w:rPr>
          <w:rFonts w:ascii="仿宋" w:hAnsi="仿宋" w:eastAsia="仿宋" w:cs="仿宋"/>
          <w:b/>
          <w:bCs/>
          <w:sz w:val="24"/>
          <w:szCs w:val="24"/>
        </w:rPr>
      </w:pPr>
      <w:r>
        <w:rPr>
          <w:rFonts w:hint="eastAsia" w:ascii="仿宋" w:hAnsi="仿宋" w:eastAsia="仿宋" w:cs="仿宋"/>
          <w:b/>
          <w:bCs/>
          <w:sz w:val="24"/>
          <w:szCs w:val="24"/>
        </w:rPr>
        <w:t>不承保托寄物目录</w:t>
      </w:r>
    </w:p>
    <w:p>
      <w:pPr>
        <w:spacing w:before="240" w:line="360" w:lineRule="auto"/>
        <w:rPr>
          <w:rFonts w:ascii="仿宋" w:hAnsi="仿宋" w:eastAsia="仿宋" w:cs="仿宋"/>
          <w:b/>
          <w:bCs/>
          <w:sz w:val="24"/>
          <w:szCs w:val="24"/>
        </w:rPr>
      </w:pPr>
      <w:r>
        <w:rPr>
          <w:rFonts w:hint="eastAsia" w:ascii="仿宋" w:hAnsi="仿宋" w:eastAsia="仿宋" w:cs="仿宋"/>
          <w:b/>
          <w:bCs/>
          <w:sz w:val="24"/>
          <w:szCs w:val="24"/>
        </w:rPr>
        <w:t xml:space="preserve">    任何情况下，承运人（主合同乙方）不对下列“不承保托寄物”的损失进行认定和赔付，也不对“不承保托寄物”导致的其他货物的损失进行认定和赔付。</w:t>
      </w:r>
    </w:p>
    <w:p>
      <w:pPr>
        <w:spacing w:before="240" w:line="360" w:lineRule="auto"/>
        <w:rPr>
          <w:rFonts w:ascii="仿宋" w:hAnsi="仿宋" w:eastAsia="仿宋" w:cs="仿宋"/>
          <w:sz w:val="24"/>
          <w:szCs w:val="24"/>
        </w:rPr>
      </w:pPr>
      <w:r>
        <w:rPr>
          <w:rFonts w:hint="eastAsia" w:ascii="仿宋" w:hAnsi="仿宋" w:eastAsia="仿宋" w:cs="仿宋"/>
          <w:sz w:val="24"/>
          <w:szCs w:val="24"/>
        </w:rPr>
        <w:t xml:space="preserve">     1、金银、金银制品、纪念币、珠宝、钻石、玉器、贵重金属、首饰、古玩、古书、古画、邮票、艺术品、稀有金属、文物、古董、现金、有价证券、票据、文件、档案、账册、图纸、技术资料、玉雕工艺品、玉石制品、名画、古代化石、瓷器、旧地毯、各类工艺品等其他价值无法确定或者保险期间内价值变化较大的货物；</w:t>
      </w:r>
    </w:p>
    <w:p>
      <w:pPr>
        <w:spacing w:line="360" w:lineRule="auto"/>
        <w:rPr>
          <w:rFonts w:ascii="仿宋" w:hAnsi="仿宋" w:eastAsia="仿宋" w:cs="仿宋"/>
          <w:sz w:val="24"/>
          <w:szCs w:val="24"/>
        </w:rPr>
      </w:pPr>
      <w:r>
        <w:rPr>
          <w:rFonts w:hint="eastAsia" w:ascii="仿宋" w:hAnsi="仿宋" w:eastAsia="仿宋" w:cs="仿宋"/>
          <w:sz w:val="24"/>
          <w:szCs w:val="24"/>
        </w:rPr>
        <w:t xml:space="preserve">     2、鱼粉、豆粕、易腐易蛀品、各类散装农产品（果仁、花生、大豆等谷物、粮食作物、菜籽饼、地瓜干、木薯干、蔬菜类等）；</w:t>
      </w:r>
    </w:p>
    <w:p>
      <w:pPr>
        <w:spacing w:line="360" w:lineRule="auto"/>
        <w:rPr>
          <w:rFonts w:ascii="仿宋" w:hAnsi="仿宋" w:eastAsia="仿宋" w:cs="仿宋"/>
          <w:sz w:val="24"/>
          <w:szCs w:val="24"/>
        </w:rPr>
      </w:pPr>
      <w:r>
        <w:rPr>
          <w:rFonts w:hint="eastAsia" w:ascii="仿宋" w:hAnsi="仿宋" w:eastAsia="仿宋" w:cs="仿宋"/>
          <w:sz w:val="24"/>
          <w:szCs w:val="24"/>
        </w:rPr>
        <w:t xml:space="preserve">     3、易变质品（包括海货、鲜活货等）、易腐坏及受温度影响的物品，如冷冻品、肉类、蛋类、水果类等；</w:t>
      </w:r>
    </w:p>
    <w:p>
      <w:pPr>
        <w:spacing w:line="360" w:lineRule="auto"/>
        <w:rPr>
          <w:rFonts w:ascii="仿宋" w:hAnsi="仿宋" w:eastAsia="仿宋" w:cs="仿宋"/>
          <w:sz w:val="24"/>
          <w:szCs w:val="24"/>
        </w:rPr>
      </w:pPr>
      <w:r>
        <w:rPr>
          <w:rFonts w:hint="eastAsia" w:ascii="仿宋" w:hAnsi="仿宋" w:eastAsia="仿宋" w:cs="仿宋"/>
          <w:sz w:val="24"/>
          <w:szCs w:val="24"/>
        </w:rPr>
        <w:t xml:space="preserve">     4、动植物及畜产品、血制品、疫苗；</w:t>
      </w:r>
    </w:p>
    <w:p>
      <w:pPr>
        <w:spacing w:line="360" w:lineRule="auto"/>
        <w:rPr>
          <w:rFonts w:ascii="仿宋" w:hAnsi="仿宋" w:eastAsia="仿宋" w:cs="仿宋"/>
          <w:sz w:val="24"/>
          <w:szCs w:val="24"/>
        </w:rPr>
      </w:pPr>
      <w:r>
        <w:rPr>
          <w:rFonts w:hint="eastAsia" w:ascii="仿宋" w:hAnsi="仿宋" w:eastAsia="仿宋" w:cs="仿宋"/>
          <w:sz w:val="24"/>
          <w:szCs w:val="24"/>
        </w:rPr>
        <w:t xml:space="preserve">     5、爆炸品、放射性同位素、易燃、易爆的危险品（一般化工类产品不列入危险品，如桶装的油漆、燃料、农药、炭黑、清洁剂、机油、香精、香料、电池、油墨、胶水、树脂等）、军用武器或装备、酒精、汽油、煤油、柴油、火柴；</w:t>
      </w:r>
    </w:p>
    <w:p>
      <w:pPr>
        <w:spacing w:before="240" w:line="360" w:lineRule="auto"/>
        <w:rPr>
          <w:rFonts w:ascii="仿宋" w:hAnsi="仿宋" w:eastAsia="仿宋" w:cs="仿宋"/>
          <w:sz w:val="24"/>
          <w:szCs w:val="24"/>
        </w:rPr>
      </w:pPr>
      <w:r>
        <w:rPr>
          <w:rFonts w:hint="eastAsia" w:ascii="仿宋" w:hAnsi="仿宋" w:eastAsia="仿宋" w:cs="仿宋"/>
          <w:sz w:val="24"/>
          <w:szCs w:val="24"/>
        </w:rPr>
        <w:t>6、有防震倾斜要求的精密设备（如液晶、半导体、光伏生产设备等）。精密仪器或设备（任何仪器或设备如果满足以下条件之一，应视为精密仪器设备：a.运输过程中对该仪器或设备的平衡、稳定、防震防尘、搬运倾斜角度等有特殊严格要求的；b.仪器或设备受损后无法找到配件，必须运回国外原厂修理或无法修复的；c.单件仪器或设备货值超过人民币200万元）；</w:t>
      </w:r>
    </w:p>
    <w:p>
      <w:pPr>
        <w:spacing w:before="240" w:line="360" w:lineRule="auto"/>
        <w:ind w:firstLine="480" w:firstLineChars="200"/>
        <w:rPr>
          <w:rFonts w:ascii="仿宋" w:hAnsi="仿宋" w:eastAsia="仿宋" w:cs="仿宋"/>
          <w:sz w:val="24"/>
          <w:szCs w:val="24"/>
        </w:rPr>
      </w:pPr>
      <w:r>
        <w:rPr>
          <w:rFonts w:hint="eastAsia" w:ascii="仿宋" w:hAnsi="仿宋" w:eastAsia="仿宋" w:cs="仿宋"/>
          <w:sz w:val="24"/>
          <w:szCs w:val="24"/>
        </w:rPr>
        <w:t>7、重大机械设备（任何机械设备如果满足以下条件之一，应视为重大机械设备：a.任一部件由于体积或重量的原因必须由特殊运输工具运输；b.任一部件由于本身的特殊性必须特殊处理，如果要求特殊的绑扎固定及保持重心的平衡）；</w:t>
      </w:r>
    </w:p>
    <w:p>
      <w:pPr>
        <w:spacing w:before="240" w:line="360" w:lineRule="auto"/>
        <w:ind w:firstLine="480" w:firstLineChars="200"/>
        <w:rPr>
          <w:rFonts w:ascii="仿宋" w:hAnsi="仿宋" w:eastAsia="仿宋" w:cs="仿宋"/>
          <w:sz w:val="24"/>
          <w:szCs w:val="24"/>
        </w:rPr>
      </w:pPr>
      <w:r>
        <w:rPr>
          <w:rFonts w:hint="eastAsia" w:ascii="仿宋" w:hAnsi="仿宋" w:eastAsia="仿宋" w:cs="仿宋"/>
          <w:sz w:val="24"/>
          <w:szCs w:val="24"/>
        </w:rPr>
        <w:t>8、汽车、摩托车、船舶；</w:t>
      </w:r>
    </w:p>
    <w:p>
      <w:pPr>
        <w:spacing w:before="240" w:line="360" w:lineRule="auto"/>
        <w:ind w:firstLine="480" w:firstLineChars="200"/>
        <w:rPr>
          <w:rFonts w:ascii="仿宋" w:hAnsi="仿宋" w:eastAsia="仿宋" w:cs="仿宋"/>
          <w:sz w:val="24"/>
          <w:szCs w:val="24"/>
        </w:rPr>
      </w:pPr>
      <w:r>
        <w:rPr>
          <w:rFonts w:hint="eastAsia" w:ascii="仿宋" w:hAnsi="仿宋" w:eastAsia="仿宋" w:cs="仿宋"/>
          <w:sz w:val="24"/>
          <w:szCs w:val="24"/>
        </w:rPr>
        <w:t>9、单价超过RMB1万元的手表；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10、原木、原棉、天然橡胶、木材等；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11、超宽或超高货物；</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12、医疗设备（单价超过50万）、药品；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13、散装化工类货物。如：煤炭、矿石/砂、石油及柴油、沥青、焦油等各类石油提炼品、饲料、化肥、水泥等；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14、赠品、赔偿物质、援助物资；</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15、太阳能组件、半导体、晶硅片（单晶硅片、多晶硅片）。</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16、在用货物、裸装货物、废旧品、二手品、展览品和陈列品。</w:t>
      </w:r>
    </w:p>
    <w:p>
      <w:pPr>
        <w:spacing w:line="360" w:lineRule="auto"/>
        <w:rPr>
          <w:rFonts w:ascii="仿宋" w:hAnsi="仿宋" w:eastAsia="仿宋" w:cs="仿宋"/>
          <w:b/>
          <w:sz w:val="24"/>
          <w:szCs w:val="24"/>
        </w:rPr>
      </w:pPr>
      <w:r>
        <w:rPr>
          <w:rFonts w:hint="eastAsia" w:ascii="仿宋" w:hAnsi="仿宋" w:eastAsia="仿宋" w:cs="仿宋"/>
          <w:b/>
          <w:sz w:val="24"/>
          <w:szCs w:val="24"/>
        </w:rPr>
        <w:t>附件二 寄递物品安全保障协议书</w:t>
      </w:r>
    </w:p>
    <w:p>
      <w:pPr>
        <w:jc w:val="center"/>
        <w:rPr>
          <w:rFonts w:ascii="仿宋" w:hAnsi="仿宋" w:eastAsia="仿宋" w:cs="仿宋"/>
          <w:b/>
          <w:sz w:val="24"/>
          <w:szCs w:val="24"/>
        </w:rPr>
      </w:pPr>
    </w:p>
    <w:p>
      <w:pPr>
        <w:spacing w:line="360" w:lineRule="auto"/>
        <w:rPr>
          <w:rFonts w:ascii="仿宋" w:hAnsi="仿宋" w:eastAsia="仿宋" w:cs="仿宋"/>
          <w:b/>
          <w:sz w:val="24"/>
          <w:szCs w:val="24"/>
        </w:rPr>
      </w:pPr>
      <w:r>
        <w:rPr>
          <w:rFonts w:hint="eastAsia" w:ascii="仿宋" w:hAnsi="仿宋" w:eastAsia="仿宋" w:cs="仿宋"/>
          <w:sz w:val="24"/>
          <w:szCs w:val="24"/>
        </w:rPr>
        <w:t xml:space="preserve">    </w:t>
      </w:r>
      <w:r>
        <w:rPr>
          <w:rFonts w:hint="eastAsia" w:ascii="仿宋" w:hAnsi="仿宋" w:eastAsia="仿宋" w:cs="仿宋"/>
          <w:b/>
          <w:sz w:val="24"/>
          <w:szCs w:val="24"/>
        </w:rPr>
        <w:t xml:space="preserve">为了保证快件寄递安全，营造安全和谐的社会环境，根据《中华人民共和国邮政法》《邮政行业安全监督管理办法》、《禁止寄递物品管理规定》和国家安全部门的有关要求，甲乙双方（与主合同甲乙双方一致）共同确认本协议内容，双方签订主合同视为明确知晓并同意接受以下条款： </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b/>
          <w:bCs/>
          <w:sz w:val="24"/>
          <w:szCs w:val="24"/>
        </w:rPr>
        <w:t>、相关法律法规</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 xml:space="preserve">甲乙双方共同遵守《中华人民共和国邮政法》 《禁止寄递物品管理规定》 《禁止寄递物品指导目录》等相关法律法规及规定中关于物品寄递的规定。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二、 甲方的义务</w:t>
      </w:r>
      <w:r>
        <w:rPr>
          <w:rFonts w:hint="eastAsia" w:ascii="仿宋" w:hAnsi="仿宋" w:eastAsia="仿宋" w:cs="仿宋"/>
          <w:sz w:val="24"/>
          <w:szCs w:val="24"/>
        </w:rPr>
        <w:t xml:space="preserve">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（一） 甲方交寄托寄物应当遵守国家关于禁止寄递或限制寄递物品的规定，不得通过寄递渠道危害国家安全、公共安全和公民、法人，其他组织的合法权益。依照国家规定需甲方提供有关书面凭证，甲方有义务提供凭证原件，乙方核对无误后，予以收寄。甲方拒绝验视，拒不如实填写寄递详情单，拒不提供书面凭证的，乙方可以拒绝收寄。</w:t>
      </w:r>
    </w:p>
    <w:p>
      <w:pPr>
        <w:spacing w:line="360" w:lineRule="auto"/>
        <w:ind w:firstLine="283" w:firstLineChars="118"/>
        <w:rPr>
          <w:rFonts w:ascii="仿宋" w:hAnsi="仿宋" w:eastAsia="仿宋" w:cs="仿宋"/>
          <w:sz w:val="24"/>
          <w:szCs w:val="24"/>
        </w:rPr>
      </w:pPr>
      <w:r>
        <w:rPr>
          <w:rFonts w:hint="eastAsia" w:ascii="仿宋" w:hAnsi="仿宋" w:eastAsia="仿宋" w:cs="仿宋"/>
          <w:sz w:val="24"/>
          <w:szCs w:val="24"/>
        </w:rPr>
        <w:t>（二）甲方应如实填写寄递详情单，包括寄件人，收件人姓名、地址和寄递物品的名称，类别，数量等，乙方应该核对寄件人和收件人的信息，准确注明托寄物的重量和资费。</w:t>
      </w:r>
    </w:p>
    <w:p>
      <w:pPr>
        <w:spacing w:line="360" w:lineRule="auto"/>
        <w:rPr>
          <w:rFonts w:ascii="仿宋" w:hAnsi="仿宋" w:eastAsia="仿宋" w:cs="仿宋"/>
          <w:sz w:val="24"/>
          <w:szCs w:val="24"/>
        </w:rPr>
      </w:pPr>
      <w:r>
        <w:rPr>
          <w:rFonts w:hint="eastAsia" w:ascii="仿宋" w:hAnsi="仿宋" w:eastAsia="仿宋" w:cs="仿宋"/>
          <w:sz w:val="24"/>
          <w:szCs w:val="24"/>
        </w:rPr>
        <w:t xml:space="preserve">   （三） 甲方承诺在自行封装的物品中不含以下物品：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1、枪支（含仿制品、主要零部件）弹药</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1）枪支（含仿制品、主要零部件）：如手枪、步枪、冲锋枪、防暴枪、气枪、猎枪、运动枪、麻醉注射枪、钢珠枪、催泪枪等。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2）弹药（含仿制品）：如子弹、炸弹、手榴弹、火箭弹、照明弹、燃烧弹、烟幕（雾）弹、信号弹、催泪弹、毒气弹、地雷、手雷、炮弹、火药等。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2、管制器具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1)管制刀具：如匕首、三棱刮刀、带有自锁装置的弹簧刀（跳刀）、其他相类似的单刃、双刃、三棱尖刀等。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2)其他：如弩、催泪器、催泪枪、电击器等。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3、爆炸物品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1)爆破器材：如炸药、雷管、导火索、导爆索、爆破剂等。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2)烟花爆竹：如烟花、鞭炮、摔炮、拉炮、砸炮、彩药弹等烟花爆竹及黑火药、烟火药、发令纸、引火线等。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3)其他：如推进剂、发射药、硝化棉、电点火头等。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4、压缩和液化气体及其容器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1)易燃气体：如氢气、甲烷、乙烷、丁烷、天然气、液化石油气、乙烯、丙烯、乙炔、打火机等。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2)有毒气体：如一氧化碳、一氧化氮、氯气等。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3)易爆或者窒息、助燃气体：如压缩氧气、氮气、氦气、氖气、气雾剂等。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5、易燃液体</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如汽油、柴油、煤油、桐油、丙酮、乙醚、油漆、生漆、苯、酒精、松香油等。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6、易燃固体、自燃物质、遇水易燃物质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1)易燃固体：如红磷、硫磺、铝粉、闪光粉、固体酒精、火柴、活性炭等。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2)自燃物质：如黄磷、白磷、硝化纤维（含胶片）、钛粉等。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3)遇水易燃物质：如金属钠、钾、锂、锌粉、镁粉、碳化钙（电石）、氰化钠、氰化钾等。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7、氧化剂和过氧化物</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如高锰酸盐、高氯酸盐、氧化氢、过氧化钠、过氧化钾、过氧化铅、氯酸盐、溴酸盐、硝酸盐、双氧水等。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8、毒性物质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如砷、砒霜、汞化物、铊化物、氰化物、硒粉、苯酚、汞、剧毒农药等。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9、生化制品、传染性、感染性物质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如病菌、炭疽、寄生虫、排泄物、医疗废弃物、尸骨、动物器官、肢体、未经硝制的兽皮、未经药制的兽骨等。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10、放射性物质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如铀、钴、镭、钚等。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11、腐蚀性物质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如硫酸、硝酸、盐酸、蓄电池、氢氧化钠、氢氧化钾等。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12、毒品及吸毒工具、非正当用途麻醉药品和精神药品、非正当用途的易制毒化学品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1)毒品、麻醉药品和精神药品：如鸦片（包括罂粟壳、花、苞、叶）、吗啡、海洛因、可卡因、大麻、甲基苯丙胺（冰毒）、氯胺酮、甲卡西酮、苯丙胺、安钠咖等。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2)易制毒化学品：如胡椒醛、黄樟素、黄樟油、麻黄素、伪麻黄素、羟亚胺、邻酮、苯乙酸、溴代苯丙酮、醋酸酐、甲苯、丙酮等。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3)吸毒工具：如冰壶等。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13、非法出版物、印刷品、音像制品等宣传品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如含有反动、煽动民族仇恨、破坏国家统一、破坏社会稳定、宣扬邪教、宗教极端思想、淫秽等内容的图书、刊物、图片、照片、音像制品等。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14、间谍专用器材</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如暗藏式窃听器材、窃照器材、突发式收发报机、一次性密码本、密写工具、用于获取情报的电子监听和截收器材等。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15、非法伪造物品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如伪造或者变造的货币、证件、公章等。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16、侵犯知识产权和假冒伪劣物品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1)侵犯知识产权：如侵犯专利权、商标权、著作权的图书、音像制品等。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2)假冒伪劣：如假冒伪劣的食品、药品、儿童用品、电子产品、化妆品、纺织品等。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17、濒危野生动物及其制品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如象牙、虎骨、犀牛角及其制品等。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18、禁止进出境物品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如有碍人畜健康的、来自疫区的以及其他能传播疾病的食品、药品或者其他物品；内容涉及国家秘密的文件、资料及其他物品。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19、其他物品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《危险化学品目录》 《民用爆炸物品品名表》 《易制爆危险化学品名录》 《易制毒化学品的分类和品种目录》 《中华人民共和国禁止进出境物品表》载明的物品和《人间传染的病原微生物名录》载明的第一、二类病原微生物等，以及法律、行政法规、国务院和国务院有关部门规定禁止寄递的其他物品。   </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 xml:space="preserve">三、甲方的权利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（一） 甲方有权对乙方在快递过程中存在的安全隐患提出意见、要求改进。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（二） 甲方有权要求乙方按照双方约定的服务方式及时限将寄递物品送至指定目的地。</w:t>
      </w:r>
    </w:p>
    <w:p>
      <w:pPr>
        <w:spacing w:line="360" w:lineRule="auto"/>
        <w:rPr>
          <w:rFonts w:ascii="仿宋" w:hAnsi="仿宋" w:eastAsia="仿宋" w:cs="仿宋"/>
          <w:b/>
          <w:bCs/>
          <w:sz w:val="24"/>
          <w:szCs w:val="24"/>
        </w:rPr>
      </w:pPr>
      <w:r>
        <w:rPr>
          <w:rFonts w:hint="eastAsia" w:ascii="仿宋" w:hAnsi="仿宋" w:eastAsia="仿宋" w:cs="仿宋"/>
          <w:sz w:val="24"/>
          <w:szCs w:val="24"/>
        </w:rPr>
        <w:t xml:space="preserve">   （三） 甲方有权知晓货物寄递的相关运输信息（例如通过运输单号查询）。</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 xml:space="preserve">四、其他事项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（一） 乙方在已经收寄的邮件中发现有上述条款所列禁寄或限寄物品的，依据《禁止寄递物品管理规定》处理，可以停止转发和投递，对其中依法需要没收或者销毁的物品，有权立即向有关部门报告，并配合有关部门处理。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（二） 对已经收寄的不需要没收、销毁的禁寄或限寄物品以及需依法查处的禁寄或限寄物品之外的物品，乙方应及时联系甲方妥善处理。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（三）甲方寄递物品为整箱货物托寄的，乙方不负责箱内货物细数的短少、缺失、货物不相符的责任。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四）甲方违反规定寄递国家规定的禁寄或限寄物品，违法邮寄国家禁止出境或限制出境的物品，被国家有关部门查处的，由甲方承担相应的法律责任以及违约责任，由此给乙方或第三方及其他组织造成损害的，由甲方自行依法承担一切赔偿责任。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p>
      <w:pPr>
        <w:spacing w:line="360" w:lineRule="auto"/>
        <w:rPr>
          <w:rFonts w:ascii="仿宋" w:hAnsi="仿宋" w:eastAsia="仿宋" w:cs="仿宋"/>
          <w:b/>
          <w:bCs/>
          <w:sz w:val="24"/>
          <w:szCs w:val="24"/>
        </w:rPr>
      </w:pPr>
      <w:r>
        <w:rPr>
          <w:rFonts w:hint="eastAsia" w:ascii="仿宋" w:hAnsi="仿宋" w:eastAsia="仿宋" w:cs="仿宋"/>
          <w:b/>
          <w:bCs/>
          <w:sz w:val="24"/>
          <w:szCs w:val="24"/>
        </w:rPr>
        <w:t xml:space="preserve">附件三： </w:t>
      </w:r>
    </w:p>
    <w:p>
      <w:pPr>
        <w:jc w:val="center"/>
        <w:rPr>
          <w:rFonts w:ascii="仿宋" w:hAnsi="仿宋" w:eastAsia="仿宋" w:cs="仿宋"/>
          <w:b/>
          <w:sz w:val="24"/>
          <w:szCs w:val="24"/>
        </w:rPr>
      </w:pPr>
      <w:r>
        <w:rPr>
          <w:rFonts w:hint="eastAsia" w:ascii="仿宋" w:hAnsi="仿宋" w:eastAsia="仿宋" w:cs="仿宋"/>
          <w:b/>
          <w:sz w:val="24"/>
          <w:szCs w:val="24"/>
        </w:rPr>
        <w:t>阳光条款</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严禁乙方以任何方式向甲方人员提供私人便利、行贿或进行非正常商务宴请。如果出现乙方的相关人员在履约过程进行私下请吃、向甲方人员提供私人便利、行贿等一切非正常的经济活动，甲方应及时向乙方举报。</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甲方承诺不会以任何方式明示、暗示乙方请吃、请喝、收受乙方礼金、礼品或接受乙方提供的其他私人便利或利益。</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为维护诚信、公平的商业环境，保护双方共同利益，敬请甲方各单位、部门与乙方各单位、部门在业务交往工作中，将相关人员明示或暗示要求宴请、招待，或索取礼金、礼品、礼券、其他利益，或故意刁难、显失公平现象，向乙方监察部门举报，具体举报渠道如下：</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举报电话：18126869556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举报邮箱：kyejcb@ky-express.com</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受理地址：广东省深圳市宝安区航城街道后瑞社区航站四路汉莎航空园区跨越速运集团总部</w:t>
      </w:r>
    </w:p>
    <w:p>
      <w:pPr>
        <w:spacing w:line="360" w:lineRule="auto"/>
        <w:ind w:firstLine="480" w:firstLineChars="200"/>
        <w:rPr>
          <w:rFonts w:cs="Times New Roman" w:asciiTheme="minorEastAsia" w:hAnsiTheme="minorEastAsia"/>
          <w:szCs w:val="21"/>
        </w:rPr>
      </w:pPr>
      <w:r>
        <w:rPr>
          <w:rFonts w:hint="eastAsia" w:ascii="仿宋" w:hAnsi="仿宋" w:eastAsia="仿宋" w:cs="仿宋"/>
          <w:sz w:val="24"/>
          <w:szCs w:val="24"/>
        </w:rPr>
        <w:t>跨越速运集团有限公司承诺：对所有举报信息及时调查处理，严格保守举报来源的相关信息，对举报人因举报所可能遭受的利益损害采取特别措施予以保护。</w:t>
      </w:r>
    </w:p>
    <w:p>
      <w:pPr>
        <w:widowControl/>
        <w:shd w:val="clear" w:color="auto" w:fill="FFFFFF"/>
        <w:spacing w:line="560" w:lineRule="exact"/>
        <w:jc w:val="left"/>
        <w:rPr>
          <w:rFonts w:cs="Times New Roman" w:asciiTheme="minorEastAsia" w:hAnsiTheme="minorEastAsia"/>
          <w:sz w:val="28"/>
          <w:szCs w:val="28"/>
        </w:rPr>
        <w:sectPr>
          <w:headerReference r:id="rId11" w:type="default"/>
          <w:footerReference r:id="rId12" w:type="default"/>
          <w:pgSz w:w="11906" w:h="16838"/>
          <w:pgMar w:top="1077" w:right="907" w:bottom="1077" w:left="907" w:header="851" w:footer="992" w:gutter="0"/>
          <w:cols w:equalWidth="0" w:num="2">
            <w:col w:w="4833" w:space="425"/>
            <w:col w:w="4833"/>
          </w:cols>
          <w:docGrid w:type="lines" w:linePitch="312" w:charSpace="0"/>
        </w:sectPr>
      </w:pPr>
    </w:p>
    <w:p>
      <w:pPr>
        <w:tabs>
          <w:tab w:val="left" w:pos="5140"/>
          <w:tab w:val="left" w:pos="5860"/>
          <w:tab w:val="left" w:pos="6580"/>
        </w:tabs>
        <w:spacing w:line="0" w:lineRule="atLeast"/>
        <w:rPr>
          <w:rFonts w:ascii="宋体" w:hAnsi="宋体" w:eastAsia="宋体" w:cs="宋体"/>
          <w:b/>
          <w:bCs/>
          <w:sz w:val="24"/>
          <w:szCs w:val="24"/>
        </w:rPr>
      </w:pPr>
      <w:r>
        <w:rPr>
          <w:rFonts w:hint="eastAsia" w:ascii="宋体" w:hAnsi="宋体" w:eastAsia="宋体" w:cs="宋体"/>
          <w:b/>
          <w:bCs/>
          <w:sz w:val="24"/>
          <w:szCs w:val="24"/>
        </w:rPr>
        <w:t>附件四：</w:t>
      </w:r>
    </w:p>
    <w:p>
      <w:pPr>
        <w:tabs>
          <w:tab w:val="left" w:pos="5140"/>
          <w:tab w:val="left" w:pos="5860"/>
          <w:tab w:val="left" w:pos="6580"/>
        </w:tabs>
        <w:spacing w:line="0" w:lineRule="atLeast"/>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合同签署授权委托书</w:t>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  </w:t>
      </w:r>
    </w:p>
    <w:p>
      <w:pPr>
        <w:tabs>
          <w:tab w:val="left" w:pos="5140"/>
          <w:tab w:val="left" w:pos="5860"/>
          <w:tab w:val="left" w:pos="6580"/>
        </w:tabs>
        <w:spacing w:line="0" w:lineRule="atLeast"/>
        <w:rPr>
          <w:rFonts w:ascii="微软雅黑" w:hAnsi="微软雅黑" w:eastAsia="微软雅黑" w:cs="微软雅黑"/>
          <w:sz w:val="24"/>
          <w:szCs w:val="24"/>
          <w:u w:val="single"/>
        </w:rPr>
      </w:pPr>
      <w:r>
        <w:rPr>
          <w:rFonts w:hint="eastAsia" w:ascii="微软雅黑" w:hAnsi="微软雅黑" w:eastAsia="微软雅黑" w:cs="微软雅黑"/>
          <w:sz w:val="24"/>
          <w:szCs w:val="24"/>
        </w:rPr>
        <w:t xml:space="preserve">委托人： </w:t>
      </w:r>
      <w:r>
        <w:rPr>
          <w:rFonts w:hint="eastAsia" w:ascii="微软雅黑" w:hAnsi="微软雅黑" w:eastAsia="微软雅黑" w:cs="微软雅黑"/>
          <w:sz w:val="24"/>
          <w:szCs w:val="24"/>
          <w:u w:val="single"/>
        </w:rPr>
        <w:t xml:space="preserve">     </w:t>
      </w:r>
      <w:commentRangeStart w:id="11"/>
      <w:r>
        <w:rPr>
          <w:rFonts w:hint="eastAsia" w:ascii="微软雅黑" w:hAnsi="微软雅黑" w:eastAsia="微软雅黑" w:cs="微软雅黑"/>
          <w:sz w:val="24"/>
          <w:szCs w:val="24"/>
          <w:u w:val="single"/>
        </w:rPr>
        <w:t xml:space="preserve">                    </w:t>
      </w:r>
      <w:commentRangeEnd w:id="11"/>
      <w:r>
        <w:commentReference w:id="11"/>
      </w:r>
    </w:p>
    <w:p>
      <w:pPr>
        <w:tabs>
          <w:tab w:val="left" w:pos="5140"/>
          <w:tab w:val="left" w:pos="5860"/>
          <w:tab w:val="left" w:pos="6580"/>
        </w:tabs>
        <w:spacing w:line="0" w:lineRule="atLeast"/>
        <w:rPr>
          <w:rFonts w:ascii="微软雅黑" w:hAnsi="微软雅黑" w:eastAsia="微软雅黑" w:cs="微软雅黑"/>
          <w:sz w:val="24"/>
          <w:szCs w:val="24"/>
          <w:u w:val="single"/>
        </w:rPr>
      </w:pPr>
    </w:p>
    <w:p>
      <w:pPr>
        <w:tabs>
          <w:tab w:val="left" w:pos="5140"/>
          <w:tab w:val="left" w:pos="5860"/>
          <w:tab w:val="left" w:pos="6580"/>
        </w:tabs>
        <w:spacing w:line="0" w:lineRule="atLeast"/>
        <w:rPr>
          <w:rFonts w:ascii="微软雅黑" w:hAnsi="微软雅黑" w:eastAsia="微软雅黑" w:cs="微软雅黑"/>
          <w:sz w:val="24"/>
          <w:szCs w:val="24"/>
          <w:u w:val="single"/>
        </w:rPr>
      </w:pPr>
      <w:r>
        <w:rPr>
          <w:rFonts w:hint="eastAsia" w:ascii="微软雅黑" w:hAnsi="微软雅黑" w:eastAsia="微软雅黑" w:cs="微软雅黑"/>
          <w:sz w:val="24"/>
          <w:szCs w:val="24"/>
        </w:rPr>
        <w:t>法定代表人：</w:t>
      </w:r>
      <w:r>
        <w:rPr>
          <w:rFonts w:hint="eastAsia" w:ascii="微软雅黑" w:hAnsi="微软雅黑" w:eastAsia="微软雅黑" w:cs="微软雅黑"/>
          <w:sz w:val="24"/>
          <w:szCs w:val="24"/>
          <w:u w:val="single"/>
        </w:rPr>
        <w:t xml:space="preserve">   </w:t>
      </w:r>
      <w:commentRangeStart w:id="12"/>
      <w:r>
        <w:rPr>
          <w:rFonts w:hint="eastAsia" w:ascii="微软雅黑" w:hAnsi="微软雅黑" w:eastAsia="微软雅黑" w:cs="微软雅黑"/>
          <w:sz w:val="24"/>
          <w:szCs w:val="24"/>
          <w:u w:val="single"/>
        </w:rPr>
        <w:t xml:space="preserve">                 </w:t>
      </w:r>
      <w:commentRangeEnd w:id="12"/>
      <w:r>
        <w:commentReference w:id="12"/>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 xml:space="preserve">         职务：</w:t>
      </w:r>
      <w:r>
        <w:rPr>
          <w:rFonts w:hint="eastAsia" w:ascii="微软雅黑" w:hAnsi="微软雅黑" w:eastAsia="微软雅黑" w:cs="微软雅黑"/>
          <w:sz w:val="24"/>
          <w:szCs w:val="24"/>
          <w:u w:val="single"/>
        </w:rPr>
        <w:t xml:space="preserve">      </w:t>
      </w:r>
      <w:commentRangeStart w:id="13"/>
      <w:r>
        <w:rPr>
          <w:rFonts w:hint="eastAsia" w:ascii="微软雅黑" w:hAnsi="微软雅黑" w:eastAsia="微软雅黑" w:cs="微软雅黑"/>
          <w:sz w:val="24"/>
          <w:szCs w:val="24"/>
          <w:u w:val="single"/>
        </w:rPr>
        <w:t xml:space="preserve">       </w:t>
      </w:r>
      <w:commentRangeEnd w:id="13"/>
      <w:r>
        <w:commentReference w:id="13"/>
      </w:r>
      <w:r>
        <w:rPr>
          <w:rFonts w:hint="eastAsia" w:ascii="微软雅黑" w:hAnsi="微软雅黑" w:eastAsia="微软雅黑" w:cs="微软雅黑"/>
          <w:sz w:val="24"/>
          <w:szCs w:val="24"/>
          <w:u w:val="single"/>
        </w:rPr>
        <w:t xml:space="preserve">      </w:t>
      </w:r>
    </w:p>
    <w:p>
      <w:pPr>
        <w:tabs>
          <w:tab w:val="left" w:pos="5140"/>
          <w:tab w:val="left" w:pos="5860"/>
          <w:tab w:val="left" w:pos="6580"/>
        </w:tabs>
        <w:spacing w:line="0" w:lineRule="atLeast"/>
        <w:rPr>
          <w:rFonts w:ascii="微软雅黑" w:hAnsi="微软雅黑" w:eastAsia="微软雅黑" w:cs="微软雅黑"/>
          <w:sz w:val="24"/>
          <w:szCs w:val="24"/>
          <w:u w:val="single"/>
        </w:rPr>
      </w:pP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受委托人：</w:t>
      </w:r>
      <w:r>
        <w:rPr>
          <w:rFonts w:hint="eastAsia" w:ascii="微软雅黑" w:hAnsi="微软雅黑" w:eastAsia="微软雅黑" w:cs="微软雅黑"/>
          <w:sz w:val="24"/>
          <w:szCs w:val="24"/>
          <w:u w:val="single"/>
        </w:rPr>
        <w:t xml:space="preserve"> </w:t>
      </w:r>
      <w:commentRangeStart w:id="14"/>
      <w:r>
        <w:rPr>
          <w:rFonts w:hint="eastAsia" w:ascii="微软雅黑" w:hAnsi="微软雅黑" w:eastAsia="微软雅黑" w:cs="微软雅黑"/>
          <w:sz w:val="24"/>
          <w:szCs w:val="24"/>
          <w:u w:val="single"/>
        </w:rPr>
        <w:t xml:space="preserve">                  </w:t>
      </w:r>
      <w:commentRangeEnd w:id="14"/>
      <w:r>
        <w:commentReference w:id="14"/>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 </w:t>
      </w:r>
    </w:p>
    <w:p>
      <w:pPr>
        <w:tabs>
          <w:tab w:val="left" w:pos="5140"/>
          <w:tab w:val="left" w:pos="5860"/>
          <w:tab w:val="left" w:pos="6580"/>
        </w:tabs>
        <w:spacing w:line="0" w:lineRule="atLeast"/>
        <w:rPr>
          <w:rFonts w:ascii="微软雅黑" w:hAnsi="微软雅黑" w:eastAsia="微软雅黑" w:cs="微软雅黑"/>
          <w:sz w:val="24"/>
          <w:szCs w:val="24"/>
        </w:rPr>
      </w:pP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工作单位：</w:t>
      </w:r>
      <w:r>
        <w:rPr>
          <w:rFonts w:hint="eastAsia" w:ascii="微软雅黑" w:hAnsi="微软雅黑" w:eastAsia="微软雅黑" w:cs="微软雅黑"/>
          <w:sz w:val="24"/>
          <w:szCs w:val="24"/>
          <w:u w:val="single"/>
        </w:rPr>
        <w:t xml:space="preserve">  </w:t>
      </w:r>
      <w:commentRangeStart w:id="15"/>
      <w:r>
        <w:rPr>
          <w:rFonts w:hint="eastAsia" w:ascii="微软雅黑" w:hAnsi="微软雅黑" w:eastAsia="微软雅黑" w:cs="微软雅黑"/>
          <w:sz w:val="24"/>
          <w:szCs w:val="24"/>
          <w:u w:val="single"/>
        </w:rPr>
        <w:t xml:space="preserve">                </w:t>
      </w:r>
      <w:commentRangeEnd w:id="15"/>
      <w:r>
        <w:commentReference w:id="15"/>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 xml:space="preserve">         职务：</w:t>
      </w:r>
      <w:r>
        <w:rPr>
          <w:rFonts w:hint="eastAsia" w:ascii="微软雅黑" w:hAnsi="微软雅黑" w:eastAsia="微软雅黑" w:cs="微软雅黑"/>
          <w:sz w:val="24"/>
          <w:szCs w:val="24"/>
          <w:u w:val="single"/>
        </w:rPr>
        <w:t xml:space="preserve">    </w:t>
      </w:r>
      <w:commentRangeStart w:id="16"/>
      <w:r>
        <w:rPr>
          <w:rFonts w:hint="eastAsia" w:ascii="微软雅黑" w:hAnsi="微软雅黑" w:eastAsia="微软雅黑" w:cs="微软雅黑"/>
          <w:sz w:val="24"/>
          <w:szCs w:val="24"/>
          <w:u w:val="single"/>
        </w:rPr>
        <w:t xml:space="preserve">              </w:t>
      </w:r>
      <w:commentRangeEnd w:id="16"/>
      <w:r>
        <w:commentReference w:id="16"/>
      </w:r>
      <w:r>
        <w:rPr>
          <w:rFonts w:hint="eastAsia" w:ascii="微软雅黑" w:hAnsi="微软雅黑" w:eastAsia="微软雅黑" w:cs="微软雅黑"/>
          <w:sz w:val="24"/>
          <w:szCs w:val="24"/>
        </w:rPr>
        <w:t xml:space="preserve">  </w:t>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    </w:t>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 </w:t>
      </w:r>
    </w:p>
    <w:p>
      <w:pPr>
        <w:tabs>
          <w:tab w:val="left" w:pos="5140"/>
          <w:tab w:val="left" w:pos="5860"/>
          <w:tab w:val="left" w:pos="6580"/>
        </w:tabs>
        <w:spacing w:line="0" w:lineRule="atLeas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兹委</w:t>
      </w:r>
      <w:commentRangeStart w:id="17"/>
      <w:r>
        <w:rPr>
          <w:rFonts w:hint="eastAsia" w:ascii="微软雅黑" w:hAnsi="微软雅黑" w:eastAsia="微软雅黑" w:cs="微软雅黑"/>
          <w:sz w:val="24"/>
          <w:szCs w:val="24"/>
        </w:rPr>
        <w:t>托</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，身份证号码：</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w:t>
      </w:r>
      <w:commentRangeEnd w:id="17"/>
      <w:r>
        <w:commentReference w:id="17"/>
      </w:r>
      <w:r>
        <w:rPr>
          <w:rFonts w:hint="eastAsia" w:ascii="微软雅黑" w:hAnsi="微软雅黑" w:eastAsia="微软雅黑" w:cs="微软雅黑"/>
          <w:sz w:val="24"/>
          <w:szCs w:val="24"/>
        </w:rPr>
        <w:t>代理委托人签订与</w:t>
      </w:r>
      <w:r>
        <w:rPr>
          <w:rFonts w:hint="eastAsia" w:ascii="微软雅黑" w:hAnsi="微软雅黑" w:eastAsia="微软雅黑" w:cs="微软雅黑"/>
          <w:sz w:val="24"/>
          <w:szCs w:val="24"/>
          <w:u w:val="single"/>
        </w:rPr>
        <w:t xml:space="preserve">  </w:t>
      </w:r>
      <w:commentRangeStart w:id="18"/>
      <w:r>
        <w:rPr>
          <w:rFonts w:hint="eastAsia" w:ascii="微软雅黑" w:hAnsi="微软雅黑" w:eastAsia="微软雅黑" w:cs="微软雅黑"/>
          <w:sz w:val="24"/>
          <w:szCs w:val="24"/>
          <w:u w:val="single"/>
        </w:rPr>
        <w:t xml:space="preserve">              </w:t>
      </w:r>
      <w:commentRangeEnd w:id="18"/>
      <w:r>
        <w:commentReference w:id="18"/>
      </w:r>
      <w:r>
        <w:rPr>
          <w:rFonts w:hint="eastAsia" w:ascii="微软雅黑" w:hAnsi="微软雅黑" w:eastAsia="微软雅黑" w:cs="微软雅黑"/>
          <w:sz w:val="24"/>
          <w:szCs w:val="24"/>
        </w:rPr>
        <w:t>有限公司的《快递服务合同》，合同编码：</w:t>
      </w:r>
      <w:r>
        <w:rPr>
          <w:rFonts w:hint="eastAsia" w:ascii="微软雅黑" w:hAnsi="微软雅黑" w:eastAsia="微软雅黑" w:cs="微软雅黑"/>
          <w:sz w:val="24"/>
          <w:szCs w:val="24"/>
          <w:u w:val="single"/>
        </w:rPr>
        <w:t xml:space="preserve"> </w:t>
      </w:r>
      <w:commentRangeStart w:id="19"/>
      <w:r>
        <w:rPr>
          <w:rFonts w:hint="eastAsia" w:ascii="微软雅黑" w:hAnsi="微软雅黑" w:eastAsia="微软雅黑" w:cs="微软雅黑"/>
          <w:sz w:val="24"/>
          <w:szCs w:val="24"/>
          <w:u w:val="single"/>
        </w:rPr>
        <w:t xml:space="preserve">               </w:t>
      </w:r>
      <w:commentRangeEnd w:id="19"/>
      <w:r>
        <w:commentReference w:id="19"/>
      </w:r>
      <w:r>
        <w:rPr>
          <w:rFonts w:hint="eastAsia" w:ascii="微软雅黑" w:hAnsi="微软雅黑" w:eastAsia="微软雅黑" w:cs="微软雅黑"/>
          <w:sz w:val="24"/>
          <w:szCs w:val="24"/>
        </w:rPr>
        <w:t>。授予代理权如下：</w:t>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 </w:t>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1、代为洽谈本合同相关事宜，商定本合同内容；特别对合同中涉及免除或者限制责任的条款进行充分解读和确认。</w:t>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 </w:t>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2、仅作为代理人签署合同。合同所产生的一切法律关系均由委托人承担。</w:t>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 </w:t>
      </w:r>
    </w:p>
    <w:p>
      <w:pPr>
        <w:tabs>
          <w:tab w:val="left" w:pos="5140"/>
          <w:tab w:val="left" w:pos="5860"/>
          <w:tab w:val="left" w:pos="6580"/>
        </w:tabs>
        <w:spacing w:line="0" w:lineRule="atLeas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受委托人行使本委托书下的委托事项，委托人对受委托人行为承担全部法律责任。本委托书有效期限至本《快递服务合同》签订日期止。</w:t>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 </w:t>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                 </w:t>
      </w:r>
    </w:p>
    <w:p>
      <w:pPr>
        <w:tabs>
          <w:tab w:val="left" w:pos="5140"/>
          <w:tab w:val="left" w:pos="5860"/>
          <w:tab w:val="left" w:pos="6580"/>
        </w:tabs>
        <w:spacing w:line="0" w:lineRule="atLeast"/>
        <w:ind w:firstLine="4800" w:firstLineChars="2000"/>
        <w:rPr>
          <w:rFonts w:ascii="微软雅黑" w:hAnsi="微软雅黑" w:eastAsia="微软雅黑" w:cs="微软雅黑"/>
          <w:sz w:val="24"/>
          <w:szCs w:val="24"/>
        </w:rPr>
      </w:pPr>
      <w:r>
        <w:rPr>
          <w:rFonts w:hint="eastAsia" w:ascii="微软雅黑" w:hAnsi="微软雅黑" w:eastAsia="微软雅黑" w:cs="微软雅黑"/>
          <w:sz w:val="24"/>
          <w:szCs w:val="24"/>
        </w:rPr>
        <w:t>委托人（签章）： </w:t>
      </w:r>
      <w:r>
        <w:commentReference w:id="20"/>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 xml:space="preserve">                                                                               </w:t>
      </w:r>
    </w:p>
    <w:p>
      <w:pPr>
        <w:tabs>
          <w:tab w:val="left" w:pos="5140"/>
          <w:tab w:val="left" w:pos="5860"/>
          <w:tab w:val="left" w:pos="6580"/>
        </w:tabs>
        <w:spacing w:line="0" w:lineRule="atLeast"/>
        <w:ind w:firstLine="6480" w:firstLineChars="2700"/>
        <w:rPr>
          <w:rFonts w:ascii="微软雅黑" w:hAnsi="微软雅黑" w:eastAsia="微软雅黑" w:cs="微软雅黑"/>
          <w:sz w:val="24"/>
          <w:szCs w:val="24"/>
        </w:rPr>
      </w:pPr>
      <w:commentRangeStart w:id="21"/>
      <w:r>
        <w:rPr>
          <w:rFonts w:hint="eastAsia" w:ascii="微软雅黑" w:hAnsi="微软雅黑" w:eastAsia="微软雅黑" w:cs="微软雅黑"/>
          <w:sz w:val="24"/>
          <w:szCs w:val="24"/>
        </w:rPr>
        <w:t>年     月    日</w:t>
      </w:r>
      <w:commentRangeEnd w:id="21"/>
      <w:r>
        <w:commentReference w:id="21"/>
      </w:r>
    </w:p>
    <w:p>
      <w:pPr>
        <w:tabs>
          <w:tab w:val="left" w:pos="5140"/>
          <w:tab w:val="left" w:pos="5860"/>
          <w:tab w:val="left" w:pos="6580"/>
        </w:tabs>
        <w:spacing w:line="0" w:lineRule="atLeast"/>
        <w:rPr>
          <w:rFonts w:ascii="微软雅黑" w:hAnsi="微软雅黑" w:eastAsia="微软雅黑" w:cs="微软雅黑"/>
          <w:sz w:val="24"/>
        </w:rPr>
      </w:pPr>
    </w:p>
    <w:p>
      <w:pPr>
        <w:tabs>
          <w:tab w:val="left" w:pos="5140"/>
          <w:tab w:val="left" w:pos="5860"/>
          <w:tab w:val="left" w:pos="6580"/>
        </w:tabs>
        <w:spacing w:line="0" w:lineRule="atLeast"/>
        <w:rPr>
          <w:rFonts w:ascii="微软雅黑" w:hAnsi="微软雅黑" w:eastAsia="微软雅黑" w:cs="微软雅黑"/>
          <w:sz w:val="24"/>
        </w:rPr>
      </w:pPr>
    </w:p>
    <w:p>
      <w:pPr>
        <w:tabs>
          <w:tab w:val="left" w:pos="5140"/>
          <w:tab w:val="left" w:pos="5860"/>
          <w:tab w:val="left" w:pos="6580"/>
        </w:tabs>
        <w:spacing w:line="0" w:lineRule="atLeast"/>
        <w:rPr>
          <w:rFonts w:ascii="微软雅黑" w:hAnsi="微软雅黑" w:eastAsia="微软雅黑" w:cs="微软雅黑"/>
          <w:sz w:val="24"/>
        </w:rPr>
      </w:pPr>
    </w:p>
    <w:p>
      <w:pPr>
        <w:tabs>
          <w:tab w:val="left" w:pos="5140"/>
          <w:tab w:val="left" w:pos="5860"/>
          <w:tab w:val="left" w:pos="6580"/>
        </w:tabs>
        <w:spacing w:line="0" w:lineRule="atLeast"/>
        <w:rPr>
          <w:rFonts w:ascii="微软雅黑" w:hAnsi="微软雅黑" w:eastAsia="微软雅黑" w:cs="微软雅黑"/>
          <w:sz w:val="24"/>
        </w:rPr>
      </w:pPr>
    </w:p>
    <w:p>
      <w:pPr>
        <w:tabs>
          <w:tab w:val="left" w:pos="5140"/>
          <w:tab w:val="left" w:pos="5860"/>
          <w:tab w:val="left" w:pos="6580"/>
        </w:tabs>
        <w:spacing w:line="0" w:lineRule="atLeast"/>
        <w:rPr>
          <w:rFonts w:ascii="宋体" w:hAnsi="宋体" w:eastAsia="宋体" w:cs="宋体"/>
          <w:b/>
          <w:bCs/>
          <w:sz w:val="24"/>
          <w:szCs w:val="24"/>
        </w:rPr>
      </w:pPr>
    </w:p>
    <w:p>
      <w:pPr>
        <w:tabs>
          <w:tab w:val="left" w:pos="5140"/>
          <w:tab w:val="left" w:pos="5860"/>
          <w:tab w:val="left" w:pos="6580"/>
        </w:tabs>
        <w:spacing w:line="0" w:lineRule="atLeast"/>
        <w:rPr>
          <w:rFonts w:ascii="宋体" w:hAnsi="宋体" w:eastAsia="宋体" w:cs="宋体"/>
          <w:b/>
          <w:bCs/>
          <w:sz w:val="24"/>
          <w:szCs w:val="24"/>
        </w:rPr>
      </w:pPr>
    </w:p>
    <w:p>
      <w:pPr>
        <w:tabs>
          <w:tab w:val="left" w:pos="5140"/>
          <w:tab w:val="left" w:pos="5860"/>
          <w:tab w:val="left" w:pos="6580"/>
        </w:tabs>
        <w:spacing w:line="0" w:lineRule="atLeast"/>
        <w:rPr>
          <w:rFonts w:ascii="宋体" w:hAnsi="宋体" w:eastAsia="宋体" w:cs="宋体"/>
          <w:b/>
          <w:bCs/>
          <w:sz w:val="24"/>
          <w:szCs w:val="24"/>
        </w:rPr>
      </w:pPr>
    </w:p>
    <w:p>
      <w:pPr>
        <w:tabs>
          <w:tab w:val="left" w:pos="5140"/>
          <w:tab w:val="left" w:pos="5860"/>
          <w:tab w:val="left" w:pos="6580"/>
        </w:tabs>
        <w:spacing w:line="0" w:lineRule="atLeast"/>
        <w:rPr>
          <w:rFonts w:ascii="宋体" w:hAnsi="宋体" w:eastAsia="宋体" w:cs="宋体"/>
          <w:b/>
          <w:bCs/>
          <w:sz w:val="24"/>
          <w:szCs w:val="24"/>
        </w:rPr>
      </w:pPr>
    </w:p>
    <w:p>
      <w:pPr>
        <w:tabs>
          <w:tab w:val="left" w:pos="5140"/>
          <w:tab w:val="left" w:pos="5860"/>
          <w:tab w:val="left" w:pos="6580"/>
        </w:tabs>
        <w:spacing w:line="0" w:lineRule="atLeast"/>
        <w:rPr>
          <w:rFonts w:ascii="宋体" w:hAnsi="宋体" w:eastAsia="宋体" w:cs="宋体"/>
          <w:b/>
          <w:bCs/>
          <w:sz w:val="24"/>
          <w:szCs w:val="24"/>
        </w:rPr>
      </w:pPr>
    </w:p>
    <w:p>
      <w:pPr>
        <w:tabs>
          <w:tab w:val="left" w:pos="5140"/>
          <w:tab w:val="left" w:pos="5860"/>
          <w:tab w:val="left" w:pos="6580"/>
        </w:tabs>
        <w:spacing w:line="0" w:lineRule="atLeast"/>
        <w:rPr>
          <w:rFonts w:ascii="宋体" w:hAnsi="宋体" w:eastAsia="宋体" w:cs="宋体"/>
          <w:b/>
          <w:bCs/>
          <w:sz w:val="24"/>
          <w:szCs w:val="24"/>
        </w:rPr>
      </w:pPr>
      <w:r>
        <w:rPr>
          <w:rFonts w:hint="eastAsia" w:ascii="宋体" w:hAnsi="宋体" w:eastAsia="宋体" w:cs="宋体"/>
          <w:b/>
          <w:bCs/>
          <w:sz w:val="24"/>
          <w:szCs w:val="24"/>
        </w:rPr>
        <w:t>附件五：</w:t>
      </w:r>
      <w:r>
        <w:commentReference w:id="22"/>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合同签署授权代表：身份证复印件</w:t>
      </w: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r>
        <w:rPr>
          <w:sz w:val="24"/>
        </w:rPr>
        <mc:AlternateContent>
          <mc:Choice Requires="wps">
            <w:drawing>
              <wp:anchor distT="0" distB="0" distL="114935" distR="114935" simplePos="0" relativeHeight="251656192" behindDoc="1" locked="0" layoutInCell="1" allowOverlap="1">
                <wp:simplePos x="0" y="0"/>
                <wp:positionH relativeFrom="column">
                  <wp:posOffset>3365500</wp:posOffset>
                </wp:positionH>
                <wp:positionV relativeFrom="paragraph">
                  <wp:posOffset>74295</wp:posOffset>
                </wp:positionV>
                <wp:extent cx="3249295" cy="2257425"/>
                <wp:effectExtent l="4445" t="5080" r="22860" b="4445"/>
                <wp:wrapTight wrapText="bothSides">
                  <wp:wrapPolygon>
                    <wp:start x="-30" y="-49"/>
                    <wp:lineTo x="-30" y="21460"/>
                    <wp:lineTo x="21499" y="21460"/>
                    <wp:lineTo x="21499" y="-49"/>
                    <wp:lineTo x="-30" y="-49"/>
                  </wp:wrapPolygon>
                </wp:wrapTight>
                <wp:docPr id="9" name="矩形 9"/>
                <wp:cNvGraphicFramePr/>
                <a:graphic xmlns:a="http://schemas.openxmlformats.org/drawingml/2006/main">
                  <a:graphicData uri="http://schemas.microsoft.com/office/word/2010/wordprocessingShape">
                    <wps:wsp>
                      <wps:cNvSpPr/>
                      <wps:spPr>
                        <a:xfrm>
                          <a:off x="0" y="0"/>
                          <a:ext cx="3249295" cy="22574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65pt;margin-top:5.85pt;height:177.75pt;width:255.85pt;mso-wrap-distance-left:9.05pt;mso-wrap-distance-right:9.05pt;z-index:-251660288;mso-width-relative:page;mso-height-relative:page;" fillcolor="#FFFFFF" filled="t" stroked="t" coordsize="21600,21600" wrapcoords="-30 -49 -30 21460 21499 21460 21499 -49 -30 -49" o:gfxdata="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Z&#10;dS7G2AAAAAsBAAAPAAAAAAAAAAEAIAAAACIAAABkcnMvZG93bnJldi54bWxQSwECFAAUAAAACACH&#10;TuJArc/sj+sBAADqAwAADgAAAAAAAAABACAAAAAnAQAAZHJzL2Uyb0RvYy54bWxQSwUGAAAAAAYA&#10;BgBZAQAAhAUAAAAA&#10;">
                <v:fill on="t" focussize="0,0"/>
                <v:stroke color="#000000" joinstyle="miter"/>
                <v:imagedata o:title=""/>
                <o:lock v:ext="edit" aspectratio="f"/>
                <v:textbox>
                  <w:txbxContent>
                    <w:p>
                      <w:pPr>
                        <w:jc w:val="center"/>
                      </w:pPr>
                    </w:p>
                  </w:txbxContent>
                </v:textbox>
                <w10:wrap type="tight"/>
              </v:rect>
            </w:pict>
          </mc:Fallback>
        </mc:AlternateContent>
      </w:r>
      <w:r>
        <w:rPr>
          <w:sz w:val="24"/>
        </w:rPr>
        <mc:AlternateContent>
          <mc:Choice Requires="wps">
            <w:drawing>
              <wp:anchor distT="0" distB="0" distL="114300" distR="114300" simplePos="0" relativeHeight="251655168" behindDoc="1" locked="0" layoutInCell="1" allowOverlap="1">
                <wp:simplePos x="0" y="0"/>
                <wp:positionH relativeFrom="column">
                  <wp:posOffset>-199390</wp:posOffset>
                </wp:positionH>
                <wp:positionV relativeFrom="paragraph">
                  <wp:posOffset>64770</wp:posOffset>
                </wp:positionV>
                <wp:extent cx="3249295" cy="2257425"/>
                <wp:effectExtent l="4445" t="5080" r="22860" b="4445"/>
                <wp:wrapNone/>
                <wp:docPr id="8" name="矩形 10"/>
                <wp:cNvGraphicFramePr/>
                <a:graphic xmlns:a="http://schemas.openxmlformats.org/drawingml/2006/main">
                  <a:graphicData uri="http://schemas.microsoft.com/office/word/2010/wordprocessingShape">
                    <wps:wsp>
                      <wps:cNvSpPr/>
                      <wps:spPr>
                        <a:xfrm>
                          <a:off x="0" y="0"/>
                          <a:ext cx="3249295" cy="22574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矩形 10" o:spid="_x0000_s1026" o:spt="1" style="position:absolute;left:0pt;margin-left:-15.7pt;margin-top:5.1pt;height:177.75pt;width:255.85pt;z-index:-251661312;mso-width-relative:page;mso-height-relative:page;" fillcolor="#FFFFFF" filled="t" stroked="t" coordsize="21600,21600" o:gfxdata="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h&#10;T9AM2AAAAAoBAAAPAAAAAAAAAAEAIAAAACIAAABkcnMvZG93bnJldi54bWxQSwECFAAUAAAACACH&#10;TuJAH3GlZOsBAADrAwAADgAAAAAAAAABACAAAAAnAQAAZHJzL2Uyb0RvYy54bWxQSwUGAAAAAAYA&#10;BgBZAQAAhAUAAAAA&#10;">
                <v:fill on="t" focussize="0,0"/>
                <v:stroke color="#000000" joinstyle="miter"/>
                <v:imagedata o:title=""/>
                <o:lock v:ext="edit" aspectratio="f"/>
                <v:textbox>
                  <w:txbxContent>
                    <w:p>
                      <w:pPr>
                        <w:jc w:val="center"/>
                      </w:pPr>
                    </w:p>
                  </w:txbxContent>
                </v:textbox>
              </v:rect>
            </w:pict>
          </mc:Fallback>
        </mc:AlternateContent>
      </w: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jc w:val="center"/>
        <w:rPr>
          <w:rFonts w:ascii="仿宋_GB2312" w:hAnsi="宋体" w:eastAsia="仿宋_GB2312" w:cs="Times New Roman"/>
          <w:sz w:val="28"/>
          <w:szCs w:val="28"/>
        </w:rPr>
      </w:pPr>
    </w:p>
    <w:p>
      <w:pPr>
        <w:tabs>
          <w:tab w:val="left" w:pos="5140"/>
          <w:tab w:val="left" w:pos="5860"/>
          <w:tab w:val="left" w:pos="6580"/>
        </w:tabs>
        <w:spacing w:line="0" w:lineRule="atLeast"/>
        <w:jc w:val="center"/>
        <w:rPr>
          <w:rFonts w:ascii="仿宋_GB2312" w:hAnsi="宋体" w:eastAsia="仿宋_GB2312" w:cs="Times New Roman"/>
          <w:sz w:val="24"/>
          <w:szCs w:val="24"/>
        </w:rPr>
      </w:pPr>
      <w:r>
        <w:rPr>
          <w:rFonts w:hint="eastAsia" w:ascii="仿宋_GB2312" w:hAnsi="宋体" w:eastAsia="仿宋_GB2312" w:cs="Times New Roman"/>
          <w:sz w:val="24"/>
          <w:szCs w:val="24"/>
        </w:rPr>
        <w:t>（签章）</w:t>
      </w:r>
    </w:p>
    <w:p>
      <w:pPr>
        <w:tabs>
          <w:tab w:val="left" w:pos="5860"/>
          <w:tab w:val="left" w:pos="6585"/>
        </w:tabs>
        <w:spacing w:line="0" w:lineRule="atLeast"/>
        <w:rPr>
          <w:rFonts w:ascii="仿宋_GB2312" w:hAnsi="宋体" w:eastAsia="仿宋_GB2312" w:cs="Times New Roman"/>
          <w:sz w:val="28"/>
          <w:szCs w:val="28"/>
        </w:rPr>
      </w:pPr>
      <w:r>
        <w:rPr>
          <w:rFonts w:hint="eastAsia" w:ascii="仿宋_GB2312" w:hAnsi="宋体" w:eastAsia="仿宋_GB2312" w:cs="Times New Roman"/>
          <w:sz w:val="28"/>
          <w:szCs w:val="28"/>
        </w:rPr>
        <w:tab/>
      </w:r>
    </w:p>
    <w:p>
      <w:pPr>
        <w:tabs>
          <w:tab w:val="left" w:pos="5140"/>
          <w:tab w:val="left" w:pos="5860"/>
          <w:tab w:val="left" w:pos="6580"/>
        </w:tabs>
        <w:spacing w:line="0" w:lineRule="atLeast"/>
        <w:rPr>
          <w:rFonts w:ascii="微软雅黑" w:hAnsi="微软雅黑" w:eastAsia="微软雅黑" w:cs="微软雅黑"/>
          <w:sz w:val="24"/>
        </w:rPr>
      </w:pPr>
    </w:p>
    <w:p>
      <w:pPr>
        <w:tabs>
          <w:tab w:val="left" w:pos="5140"/>
          <w:tab w:val="left" w:pos="5860"/>
          <w:tab w:val="left" w:pos="6580"/>
        </w:tabs>
        <w:spacing w:line="0" w:lineRule="atLeast"/>
        <w:rPr>
          <w:rFonts w:ascii="仿宋_GB2312" w:hAnsi="宋体" w:eastAsia="仿宋_GB2312" w:cs="Times New Roman"/>
          <w:sz w:val="24"/>
          <w:szCs w:val="24"/>
        </w:rPr>
      </w:pPr>
      <w:r>
        <w:rPr>
          <w:rFonts w:hint="eastAsia" w:ascii="微软雅黑" w:hAnsi="微软雅黑" w:eastAsia="微软雅黑" w:cs="微软雅黑"/>
          <w:sz w:val="24"/>
          <w:szCs w:val="24"/>
        </w:rPr>
        <w:t>业务对接人：身份证复印件</w:t>
      </w: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r>
        <w:rPr>
          <w:sz w:val="24"/>
        </w:rPr>
        <mc:AlternateContent>
          <mc:Choice Requires="wps">
            <w:drawing>
              <wp:anchor distT="0" distB="0" distL="114300" distR="114300" simplePos="0" relativeHeight="251658240" behindDoc="1" locked="0" layoutInCell="1" allowOverlap="1">
                <wp:simplePos x="0" y="0"/>
                <wp:positionH relativeFrom="column">
                  <wp:posOffset>3362325</wp:posOffset>
                </wp:positionH>
                <wp:positionV relativeFrom="paragraph">
                  <wp:posOffset>154940</wp:posOffset>
                </wp:positionV>
                <wp:extent cx="3249295" cy="2257425"/>
                <wp:effectExtent l="4445" t="5080" r="22860" b="4445"/>
                <wp:wrapNone/>
                <wp:docPr id="12" name="矩形 12"/>
                <wp:cNvGraphicFramePr/>
                <a:graphic xmlns:a="http://schemas.openxmlformats.org/drawingml/2006/main">
                  <a:graphicData uri="http://schemas.microsoft.com/office/word/2010/wordprocessingShape">
                    <wps:wsp>
                      <wps:cNvSpPr/>
                      <wps:spPr>
                        <a:xfrm>
                          <a:off x="0" y="0"/>
                          <a:ext cx="3249295" cy="22574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64.75pt;margin-top:12.2pt;height:177.75pt;width:255.85pt;z-index:-251658240;mso-width-relative:page;mso-height-relative:page;" fillcolor="#FFFFFF" filled="t" stroked="t" coordsize="21600,21600" o:gfxdata="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v/bdfZAAAACwEAAA8AAAAAAAAAAQAgAAAAIgAAAGRycy9kb3ducmV2LnhtbFBLAQIUABQAAAAI&#10;AIdO4kCbvTBu7AEAAOwDAAAOAAAAAAAAAAEAIAAAACgBAABkcnMvZTJvRG9jLnhtbFBLBQYAAAAA&#10;BgAGAFkBAACGBQAAAAA=&#10;">
                <v:fill on="t" focussize="0,0"/>
                <v:stroke color="#000000" joinstyle="miter"/>
                <v:imagedata o:title=""/>
                <o:lock v:ext="edit" aspectratio="f"/>
                <v:textbox>
                  <w:txbxContent>
                    <w:p>
                      <w:pPr>
                        <w:jc w:val="center"/>
                      </w:pPr>
                    </w:p>
                  </w:txbxContent>
                </v:textbox>
              </v:rect>
            </w:pict>
          </mc:Fallback>
        </mc:AlternateContent>
      </w:r>
      <w:r>
        <w:rPr>
          <w:sz w:val="24"/>
        </w:rPr>
        <mc:AlternateContent>
          <mc:Choice Requires="wps">
            <w:drawing>
              <wp:anchor distT="0" distB="0" distL="114300" distR="114300" simplePos="0" relativeHeight="251657216" behindDoc="1" locked="0" layoutInCell="1" allowOverlap="1">
                <wp:simplePos x="0" y="0"/>
                <wp:positionH relativeFrom="column">
                  <wp:posOffset>-245110</wp:posOffset>
                </wp:positionH>
                <wp:positionV relativeFrom="paragraph">
                  <wp:posOffset>158750</wp:posOffset>
                </wp:positionV>
                <wp:extent cx="3249295" cy="2257425"/>
                <wp:effectExtent l="4445" t="5080" r="22860" b="4445"/>
                <wp:wrapNone/>
                <wp:docPr id="11" name="矩形 11"/>
                <wp:cNvGraphicFramePr/>
                <a:graphic xmlns:a="http://schemas.openxmlformats.org/drawingml/2006/main">
                  <a:graphicData uri="http://schemas.microsoft.com/office/word/2010/wordprocessingShape">
                    <wps:wsp>
                      <wps:cNvSpPr/>
                      <wps:spPr>
                        <a:xfrm>
                          <a:off x="0" y="0"/>
                          <a:ext cx="3249295" cy="22574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19.3pt;margin-top:12.5pt;height:177.75pt;width:255.85pt;z-index:-251659264;mso-width-relative:page;mso-height-relative:page;" fillcolor="#FFFFFF" filled="t" stroked="t" coordsize="21600,21600" o:gfxdata="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2aHt/ZAAAACgEAAA8AAAAAAAAAAQAgAAAAIgAAAGRycy9kb3ducmV2LnhtbFBLAQIUABQAAAAI&#10;AIdO4kDAGtm+7AEAAOwDAAAOAAAAAAAAAAEAIAAAACgBAABkcnMvZTJvRG9jLnhtbFBLBQYAAAAA&#10;BgAGAFkBAACGBQAAAAA=&#10;">
                <v:fill on="t" focussize="0,0"/>
                <v:stroke color="#000000" joinstyle="miter"/>
                <v:imagedata o:title=""/>
                <o:lock v:ext="edit" aspectratio="f"/>
                <v:textbox>
                  <w:txbxContent>
                    <w:p>
                      <w:pPr>
                        <w:jc w:val="center"/>
                      </w:pPr>
                    </w:p>
                  </w:txbxContent>
                </v:textbox>
              </v:rect>
            </w:pict>
          </mc:Fallback>
        </mc:AlternateContent>
      </w: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jc w:val="center"/>
        <w:rPr>
          <w:rFonts w:ascii="仿宋_GB2312" w:hAnsi="宋体" w:eastAsia="仿宋_GB2312" w:cs="Times New Roman"/>
          <w:sz w:val="28"/>
          <w:szCs w:val="28"/>
        </w:rPr>
      </w:pPr>
    </w:p>
    <w:p>
      <w:pPr>
        <w:tabs>
          <w:tab w:val="left" w:pos="5140"/>
          <w:tab w:val="left" w:pos="5860"/>
          <w:tab w:val="left" w:pos="6580"/>
        </w:tabs>
        <w:spacing w:line="0" w:lineRule="atLeast"/>
        <w:jc w:val="center"/>
        <w:rPr>
          <w:rFonts w:ascii="仿宋_GB2312" w:hAnsi="宋体" w:eastAsia="仿宋_GB2312" w:cs="Times New Roman"/>
          <w:sz w:val="24"/>
          <w:szCs w:val="24"/>
        </w:rPr>
      </w:pPr>
      <w:r>
        <w:rPr>
          <w:rFonts w:hint="eastAsia" w:ascii="仿宋_GB2312" w:hAnsi="宋体" w:eastAsia="仿宋_GB2312" w:cs="Times New Roman"/>
          <w:sz w:val="24"/>
          <w:szCs w:val="24"/>
        </w:rPr>
        <w:t>（签章）</w:t>
      </w:r>
    </w:p>
    <w:p>
      <w:pPr>
        <w:tabs>
          <w:tab w:val="left" w:pos="5140"/>
          <w:tab w:val="left" w:pos="5860"/>
          <w:tab w:val="left" w:pos="6580"/>
        </w:tabs>
        <w:spacing w:line="0" w:lineRule="atLeast"/>
        <w:rPr>
          <w:rFonts w:ascii="仿宋_GB2312" w:hAnsi="宋体" w:eastAsia="仿宋_GB2312" w:cs="Times New Roman"/>
          <w:sz w:val="24"/>
          <w:szCs w:val="24"/>
        </w:rPr>
      </w:pPr>
    </w:p>
    <w:p>
      <w:pPr>
        <w:tabs>
          <w:tab w:val="left" w:pos="5140"/>
          <w:tab w:val="left" w:pos="5860"/>
          <w:tab w:val="left" w:pos="6580"/>
        </w:tabs>
        <w:spacing w:line="0" w:lineRule="atLeast"/>
        <w:rPr>
          <w:rFonts w:ascii="仿宋_GB2312" w:hAnsi="宋体" w:eastAsia="仿宋_GB2312" w:cs="Times New Roman"/>
          <w:sz w:val="24"/>
          <w:szCs w:val="24"/>
        </w:rPr>
      </w:pPr>
    </w:p>
    <w:p>
      <w:pPr>
        <w:tabs>
          <w:tab w:val="left" w:pos="5140"/>
          <w:tab w:val="left" w:pos="5860"/>
          <w:tab w:val="left" w:pos="6580"/>
        </w:tabs>
        <w:spacing w:line="0" w:lineRule="atLeast"/>
        <w:rPr>
          <w:rFonts w:ascii="仿宋_GB2312" w:hAnsi="宋体" w:eastAsia="仿宋_GB2312" w:cs="Times New Roman"/>
          <w:sz w:val="24"/>
          <w:szCs w:val="24"/>
        </w:rPr>
      </w:pPr>
      <w:r>
        <w:rPr>
          <w:rFonts w:hint="eastAsia" w:ascii="仿宋_GB2312" w:hAnsi="宋体" w:eastAsia="仿宋_GB2312" w:cs="Times New Roman"/>
          <w:sz w:val="24"/>
          <w:szCs w:val="24"/>
        </w:rPr>
        <w:t>注：身份证复印件张贴在方框后，再在签章提示处盖骑缝章。</w:t>
      </w:r>
    </w:p>
    <w:sectPr>
      <w:pgSz w:w="11906" w:h="16838"/>
      <w:pgMar w:top="1077" w:right="907" w:bottom="1077" w:left="907"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KY-罗仕斌 [2]" w:date="2020-01-16T09:17:59Z" w:initials="">
    <w:p w14:paraId="7ACC3A00">
      <w:pPr>
        <w:pStyle w:val="2"/>
        <w:rPr>
          <w:rFonts w:hint="eastAsia" w:eastAsiaTheme="minorEastAsia"/>
          <w:lang w:val="en-US" w:eastAsia="zh-CN"/>
        </w:rPr>
      </w:pPr>
      <w:r>
        <w:rPr>
          <w:rFonts w:hint="eastAsia"/>
          <w:lang w:val="en-US" w:eastAsia="zh-CN"/>
        </w:rPr>
        <w:t>请补全</w:t>
      </w:r>
    </w:p>
  </w:comment>
  <w:comment w:id="1" w:author="KY-罗仕斌" w:date="2019-12-16T15:27:00Z" w:initials="">
    <w:p w14:paraId="0FB90090">
      <w:pPr>
        <w:pStyle w:val="2"/>
      </w:pPr>
      <w:r>
        <w:rPr>
          <w:rFonts w:hint="eastAsia"/>
        </w:rPr>
        <w:t>请补全</w:t>
      </w:r>
    </w:p>
  </w:comment>
  <w:comment w:id="2" w:author="KY-罗仕斌" w:date="2019-12-27T13:57:00Z" w:initials="">
    <w:p w14:paraId="67F35614">
      <w:pPr>
        <w:pStyle w:val="2"/>
      </w:pPr>
      <w:r>
        <w:rPr>
          <w:rFonts w:hint="eastAsia"/>
        </w:rPr>
        <w:t>请补全</w:t>
      </w:r>
    </w:p>
  </w:comment>
  <w:comment w:id="3" w:author="KY-罗仕斌" w:date="2019-12-27T13:57:00Z" w:initials="">
    <w:p w14:paraId="07C00234">
      <w:pPr>
        <w:pStyle w:val="2"/>
      </w:pPr>
      <w:r>
        <w:rPr>
          <w:rFonts w:hint="eastAsia"/>
        </w:rPr>
        <w:t>请补全</w:t>
      </w:r>
    </w:p>
  </w:comment>
  <w:comment w:id="4" w:author="KY-罗仕斌" w:date="2019-12-27T13:57:00Z" w:initials="">
    <w:p w14:paraId="38296E60">
      <w:pPr>
        <w:pStyle w:val="2"/>
      </w:pPr>
      <w:r>
        <w:rPr>
          <w:rFonts w:hint="eastAsia"/>
        </w:rPr>
        <w:t>请写明</w:t>
      </w:r>
    </w:p>
  </w:comment>
  <w:comment w:id="5" w:author="KY-罗仕斌" w:date="2019-12-26T13:54:00Z" w:initials="">
    <w:p w14:paraId="62527781">
      <w:pPr>
        <w:pStyle w:val="2"/>
      </w:pPr>
      <w:r>
        <w:rPr>
          <w:rFonts w:hint="eastAsia"/>
        </w:rPr>
        <w:t>请写明</w:t>
      </w:r>
    </w:p>
  </w:comment>
  <w:comment w:id="6" w:author="KY-罗仕斌" w:date="2019-12-27T13:57:00Z" w:initials="">
    <w:p w14:paraId="6E526A89">
      <w:pPr>
        <w:pStyle w:val="2"/>
      </w:pPr>
      <w:r>
        <w:rPr>
          <w:rFonts w:hint="eastAsia"/>
        </w:rPr>
        <w:t>请写明</w:t>
      </w:r>
    </w:p>
  </w:comment>
  <w:comment w:id="7" w:author="KYE--罗仕斌" w:date="2020-03-12T16:34:03Z" w:initials="Q">
    <w:p w14:paraId="0A0D6A5A">
      <w:pPr>
        <w:pStyle w:val="2"/>
        <w:rPr>
          <w:rFonts w:hint="eastAsia" w:eastAsiaTheme="minorEastAsia"/>
          <w:lang w:eastAsia="zh-CN"/>
        </w:rPr>
      </w:pPr>
      <w:r>
        <w:rPr>
          <w:rFonts w:hint="eastAsia"/>
          <w:lang w:eastAsia="zh-CN"/>
        </w:rPr>
        <w:t>请补全</w:t>
      </w:r>
    </w:p>
  </w:comment>
  <w:comment w:id="8" w:author="KY-罗仕斌" w:date="2019-12-16T15:24:00Z" w:initials="">
    <w:p w14:paraId="1FA031C4">
      <w:pPr>
        <w:pStyle w:val="2"/>
        <w:rPr>
          <w:highlight w:val="yellow"/>
        </w:rPr>
      </w:pPr>
      <w:r>
        <w:rPr>
          <w:rFonts w:hint="eastAsia"/>
        </w:rPr>
        <w:t>请补全下表格内容   邮箱建议：</w:t>
      </w:r>
      <w:r>
        <w:rPr>
          <w:rFonts w:hint="eastAsia"/>
          <w:highlight w:val="yellow"/>
        </w:rPr>
        <w:t>填写公对公对账邮箱；实在没有对公邮箱的，可以填写乙方业务人与甲方对接人对账邮箱</w:t>
      </w:r>
    </w:p>
    <w:p w14:paraId="40597AB8">
      <w:pPr>
        <w:pStyle w:val="2"/>
      </w:pPr>
    </w:p>
  </w:comment>
  <w:comment w:id="9" w:author="KY-罗仕斌" w:date="2019-12-28T15:17:00Z" w:initials="">
    <w:p w14:paraId="30595BE8">
      <w:pPr>
        <w:pStyle w:val="2"/>
      </w:pPr>
      <w:r>
        <w:rPr>
          <w:rFonts w:hint="eastAsia"/>
        </w:rPr>
        <w:t>填写甲乙各方公司名称 + 签约时加盖甲方、乙方公章</w:t>
      </w:r>
    </w:p>
    <w:p w14:paraId="604B385B">
      <w:pPr>
        <w:pStyle w:val="2"/>
      </w:pPr>
    </w:p>
  </w:comment>
  <w:comment w:id="10" w:author="KY-罗仕斌" w:date="2019-12-28T15:17:00Z" w:initials="">
    <w:p w14:paraId="4DDA78C8">
      <w:pPr>
        <w:pStyle w:val="2"/>
        <w:rPr>
          <w:rFonts w:eastAsia="宋体"/>
        </w:rPr>
      </w:pPr>
      <w:r>
        <w:rPr>
          <w:rFonts w:hint="eastAsia"/>
        </w:rPr>
        <w:t>补全授权代表信息及签订日期</w:t>
      </w:r>
    </w:p>
    <w:p w14:paraId="48C944B9">
      <w:pPr>
        <w:pStyle w:val="2"/>
      </w:pPr>
    </w:p>
  </w:comment>
  <w:comment w:id="11" w:author="KY-罗仕斌" w:date="2019-12-05T16:47:00Z" w:initials="">
    <w:p w14:paraId="49DC61BF">
      <w:pPr>
        <w:pStyle w:val="2"/>
      </w:pPr>
      <w:r>
        <w:rPr>
          <w:rFonts w:hint="eastAsia"/>
        </w:rPr>
        <w:t>填甲方公司名称</w:t>
      </w:r>
    </w:p>
  </w:comment>
  <w:comment w:id="12" w:author="KY-罗仕斌" w:date="2019-12-05T16:48:00Z" w:initials="">
    <w:p w14:paraId="31EF513B">
      <w:pPr>
        <w:pStyle w:val="2"/>
      </w:pPr>
      <w:r>
        <w:rPr>
          <w:rFonts w:hint="eastAsia"/>
        </w:rPr>
        <w:t>法定代表人</w:t>
      </w:r>
    </w:p>
  </w:comment>
  <w:comment w:id="13" w:author="KY-罗仕斌" w:date="2019-12-05T16:48:00Z" w:initials="">
    <w:p w14:paraId="3AF6498C">
      <w:pPr>
        <w:pStyle w:val="2"/>
      </w:pPr>
      <w:r>
        <w:rPr>
          <w:rFonts w:hint="eastAsia"/>
        </w:rPr>
        <w:t>董事长或总经理</w:t>
      </w:r>
    </w:p>
  </w:comment>
  <w:comment w:id="14" w:author="KY-罗仕斌" w:date="2019-12-05T16:47:00Z" w:initials="">
    <w:p w14:paraId="71B24DA8">
      <w:pPr>
        <w:pStyle w:val="2"/>
      </w:pPr>
      <w:r>
        <w:rPr>
          <w:rFonts w:hint="eastAsia"/>
        </w:rPr>
        <w:t>签约人（可以是甲方法定代表人或其他授权人）</w:t>
      </w:r>
    </w:p>
  </w:comment>
  <w:comment w:id="15" w:author="KY-罗仕斌" w:date="2019-12-10T17:11:00Z" w:initials="">
    <w:p w14:paraId="06637E60">
      <w:pPr>
        <w:pStyle w:val="2"/>
      </w:pPr>
      <w:r>
        <w:rPr>
          <w:rFonts w:hint="eastAsia"/>
        </w:rPr>
        <w:t>公司名称</w:t>
      </w:r>
    </w:p>
  </w:comment>
  <w:comment w:id="16" w:author="KY-罗仕斌" w:date="2019-12-10T17:11:00Z" w:initials="">
    <w:p w14:paraId="73C35AE1">
      <w:pPr>
        <w:pStyle w:val="2"/>
      </w:pPr>
      <w:r>
        <w:rPr>
          <w:rFonts w:hint="eastAsia"/>
        </w:rPr>
        <w:t>请补全</w:t>
      </w:r>
    </w:p>
  </w:comment>
  <w:comment w:id="17" w:author="KY-罗仕斌" w:date="2019-12-19T15:51:00Z" w:initials="">
    <w:p w14:paraId="37061236">
      <w:pPr>
        <w:pStyle w:val="2"/>
      </w:pPr>
      <w:r>
        <w:rPr>
          <w:rFonts w:hint="eastAsia"/>
        </w:rPr>
        <w:t>签约人（可以是甲方法定代表人或其他授权人）</w:t>
      </w:r>
    </w:p>
    <w:p w14:paraId="68B655D0">
      <w:pPr>
        <w:pStyle w:val="2"/>
      </w:pPr>
    </w:p>
  </w:comment>
  <w:comment w:id="18" w:author="KY-罗仕斌" w:date="2019-12-19T16:15:00Z" w:initials="">
    <w:p w14:paraId="45AB5D63">
      <w:pPr>
        <w:pStyle w:val="2"/>
      </w:pPr>
      <w:r>
        <w:rPr>
          <w:rFonts w:hint="eastAsia"/>
        </w:rPr>
        <w:t>填乙方公司</w:t>
      </w:r>
    </w:p>
    <w:p w14:paraId="70640E9B">
      <w:pPr>
        <w:pStyle w:val="2"/>
      </w:pPr>
    </w:p>
  </w:comment>
  <w:comment w:id="19" w:author="KY-罗仕斌" w:date="2019-12-19T16:15:00Z" w:initials="">
    <w:p w14:paraId="36900F6E">
      <w:pPr>
        <w:pStyle w:val="2"/>
      </w:pPr>
      <w:r>
        <w:rPr>
          <w:rFonts w:hint="eastAsia"/>
        </w:rPr>
        <w:t>填此合同编码</w:t>
      </w:r>
    </w:p>
  </w:comment>
  <w:comment w:id="20" w:author="KY-罗仕斌" w:date="2019-12-05T16:48:00Z" w:initials="">
    <w:p w14:paraId="438E001D">
      <w:pPr>
        <w:pStyle w:val="2"/>
      </w:pPr>
      <w:r>
        <w:rPr>
          <w:rFonts w:hint="eastAsia"/>
        </w:rPr>
        <w:t>填甲方公司名称、加盖公章</w:t>
      </w:r>
    </w:p>
  </w:comment>
  <w:comment w:id="21" w:author="KY-罗仕斌" w:date="2019-12-05T16:48:00Z" w:initials="">
    <w:p w14:paraId="30244221">
      <w:pPr>
        <w:pStyle w:val="2"/>
      </w:pPr>
      <w:r>
        <w:rPr>
          <w:rFonts w:hint="eastAsia"/>
        </w:rPr>
        <w:t>填写完整年月日</w:t>
      </w:r>
    </w:p>
  </w:comment>
  <w:comment w:id="22" w:author="KY-罗仕斌" w:date="2019-12-30T17:52:00Z" w:initials="">
    <w:p w14:paraId="20C31B96">
      <w:pPr>
        <w:pStyle w:val="2"/>
        <w:rPr>
          <w:rFonts w:eastAsia="宋体"/>
        </w:rPr>
      </w:pPr>
      <w:r>
        <w:rPr>
          <w:rFonts w:hint="eastAsia"/>
        </w:rPr>
        <w:t>请签约时补全 身份证复印件</w:t>
      </w:r>
    </w:p>
    <w:p w14:paraId="6F0E42E0">
      <w:pPr>
        <w:pStyle w:val="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ACC3A00" w15:done="0"/>
  <w15:commentEx w15:paraId="0FB90090" w15:done="0"/>
  <w15:commentEx w15:paraId="67F35614" w15:done="0"/>
  <w15:commentEx w15:paraId="07C00234" w15:done="0"/>
  <w15:commentEx w15:paraId="38296E60" w15:done="0"/>
  <w15:commentEx w15:paraId="62527781" w15:done="0"/>
  <w15:commentEx w15:paraId="6E526A89" w15:done="0"/>
  <w15:commentEx w15:paraId="0A0D6A5A" w15:done="0"/>
  <w15:commentEx w15:paraId="40597AB8" w15:done="0"/>
  <w15:commentEx w15:paraId="604B385B" w15:done="0"/>
  <w15:commentEx w15:paraId="48C944B9" w15:done="0"/>
  <w15:commentEx w15:paraId="49DC61BF" w15:done="0"/>
  <w15:commentEx w15:paraId="31EF513B" w15:done="0"/>
  <w15:commentEx w15:paraId="3AF6498C" w15:done="0"/>
  <w15:commentEx w15:paraId="71B24DA8" w15:done="0"/>
  <w15:commentEx w15:paraId="06637E60" w15:done="0"/>
  <w15:commentEx w15:paraId="73C35AE1" w15:done="0"/>
  <w15:commentEx w15:paraId="68B655D0" w15:done="0"/>
  <w15:commentEx w15:paraId="70640E9B" w15:done="0"/>
  <w15:commentEx w15:paraId="36900F6E" w15:done="0"/>
  <w15:commentEx w15:paraId="438E001D" w15:done="0"/>
  <w15:commentEx w15:paraId="30244221" w15:done="0"/>
  <w15:commentEx w15:paraId="6F0E42E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oqOY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KKjmEAIAAAkEAAAOAAAAAAAAAAEAIAAA&#10;AB8BAABkcnMvZTJvRG9jLnhtbFBLBQYAAAAABgAGAFkBAAChBQAAAAA=&#10;">
              <v:fill on="f" focussize="0,0"/>
              <v:stroke on="f" weight="0.5pt"/>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v:textbox>
            </v:shape>
          </w:pict>
        </mc:Fallback>
      </mc:AlternateContent>
    </w:r>
  </w:p>
  <w:p>
    <w:pPr>
      <w:pStyle w:val="4"/>
    </w:pPr>
    <w:r>
      <w:drawing>
        <wp:anchor distT="0" distB="0" distL="114300" distR="114300" simplePos="0" relativeHeight="251666432" behindDoc="1" locked="0" layoutInCell="1" allowOverlap="1">
          <wp:simplePos x="0" y="0"/>
          <wp:positionH relativeFrom="column">
            <wp:posOffset>-1089660</wp:posOffset>
          </wp:positionH>
          <wp:positionV relativeFrom="paragraph">
            <wp:posOffset>40640</wp:posOffset>
          </wp:positionV>
          <wp:extent cx="7581900" cy="742950"/>
          <wp:effectExtent l="19050" t="0" r="0" b="0"/>
          <wp:wrapNone/>
          <wp:docPr id="4" name="图片 1" descr="页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页脚.jpg"/>
                  <pic:cNvPicPr>
                    <a:picLocks noChangeAspect="1"/>
                  </pic:cNvPicPr>
                </pic:nvPicPr>
                <pic:blipFill>
                  <a:blip r:embed="rId1"/>
                  <a:stretch>
                    <a:fillRect/>
                  </a:stretch>
                </pic:blipFill>
                <pic:spPr>
                  <a:xfrm>
                    <a:off x="0" y="0"/>
                    <a:ext cx="7581900" cy="74295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drawing>
        <wp:anchor distT="0" distB="0" distL="114300" distR="114300" simplePos="0" relativeHeight="251696128" behindDoc="0" locked="0" layoutInCell="1" allowOverlap="1">
          <wp:simplePos x="0" y="0"/>
          <wp:positionH relativeFrom="margin">
            <wp:posOffset>-935990</wp:posOffset>
          </wp:positionH>
          <wp:positionV relativeFrom="margin">
            <wp:posOffset>8689975</wp:posOffset>
          </wp:positionV>
          <wp:extent cx="7560310" cy="706755"/>
          <wp:effectExtent l="0" t="0" r="2540" b="17145"/>
          <wp:wrapSquare wrapText="bothSides"/>
          <wp:docPr id="15" name="图片 36" descr="C:\Users\Administrator\Desktop\IMG20190710103942.jpgIMG20190710103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6" descr="C:\Users\Administrator\Desktop\IMG20190710103942.jpgIMG20190710103942"/>
                  <pic:cNvPicPr>
                    <a:picLocks noChangeAspect="1"/>
                  </pic:cNvPicPr>
                </pic:nvPicPr>
                <pic:blipFill>
                  <a:blip r:embed="rId1"/>
                  <a:srcRect/>
                  <a:stretch>
                    <a:fillRect/>
                  </a:stretch>
                </pic:blipFill>
                <pic:spPr>
                  <a:xfrm>
                    <a:off x="0" y="0"/>
                    <a:ext cx="7560310" cy="706755"/>
                  </a:xfrm>
                  <a:prstGeom prst="rect">
                    <a:avLst/>
                  </a:prstGeom>
                  <a:noFill/>
                  <a:ln w="9525">
                    <a:noFill/>
                  </a:ln>
                </pic:spPr>
              </pic:pic>
            </a:graphicData>
          </a:graphic>
        </wp:anchor>
      </w:drawing>
    </w:r>
  </w:p>
  <w:p>
    <w:pPr>
      <w:pStyle w:val="4"/>
    </w:pPr>
    <w:r>
      <mc:AlternateContent>
        <mc:Choice Requires="wps">
          <w:drawing>
            <wp:anchor distT="0" distB="0" distL="114300" distR="114300" simplePos="0" relativeHeight="251683840" behindDoc="0" locked="0" layoutInCell="1" allowOverlap="1">
              <wp:simplePos x="0" y="0"/>
              <wp:positionH relativeFrom="margin">
                <wp:posOffset>2562860</wp:posOffset>
              </wp:positionH>
              <wp:positionV relativeFrom="paragraph">
                <wp:posOffset>360680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t>1</w:t>
                          </w:r>
                          <w:r>
                            <w:rPr>
                              <w:rFonts w:hint="eastAsia"/>
                            </w:rPr>
                            <w:t>8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1.8pt;margin-top:28.4pt;height:144pt;width:144pt;mso-position-horizontal-relative:margin;mso-wrap-style:none;z-index:251683840;mso-width-relative:page;mso-height-relative:page;" filled="f" stroked="f" coordsize="21600,21600" o:gfxdata="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BPWrnXAAAACgEAAA8AAAAAAAAAAQAg&#10;AAAAIgAAAGRycy9kb3ducmV2LnhtbFBLAQIUABQAAAAIAIdO4kAxqWiTDwIAAAkEAAAOAAAAAAAA&#10;AAEAIAAAACYBAABkcnMvZTJvRG9jLnhtbFBLBQYAAAAABgAGAFkBAACnBQAAAAA=&#10;">
              <v:fill on="f" focussize="0,0"/>
              <v:stroke on="f" weight="0.5pt"/>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t>1</w:t>
                    </w:r>
                    <w:r>
                      <w:rPr>
                        <w:rFonts w:hint="eastAsia"/>
                      </w:rPr>
                      <w:t>8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 共 18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Bx08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EpBx08PAgAACQQAAA4AAAAAAAAAAQAgAAAA&#10;HwEAAGRycy9lMm9Eb2MueG1sUEsFBgAAAAAGAAYAWQEAAKAFAAAAAA==&#10;">
              <v:fill on="f" focussize="0,0"/>
              <v:stroke on="f" weight="0.5pt"/>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 共 18 页</w:t>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r>
      <w:rPr>
        <w:rFonts w:hint="eastAsia"/>
      </w:rPr>
      <w:drawing>
        <wp:anchor distT="0" distB="0" distL="114300" distR="114300" simplePos="0" relativeHeight="251697152" behindDoc="1" locked="0" layoutInCell="1" allowOverlap="1">
          <wp:simplePos x="0" y="0"/>
          <wp:positionH relativeFrom="column">
            <wp:posOffset>-972185</wp:posOffset>
          </wp:positionH>
          <wp:positionV relativeFrom="paragraph">
            <wp:posOffset>-540385</wp:posOffset>
          </wp:positionV>
          <wp:extent cx="7632065" cy="811530"/>
          <wp:effectExtent l="0" t="0" r="6985" b="7620"/>
          <wp:wrapNone/>
          <wp:docPr id="1" name="图片 1" descr="IMG20190710103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20190710103330"/>
                  <pic:cNvPicPr>
                    <a:picLocks noChangeAspect="1"/>
                  </pic:cNvPicPr>
                </pic:nvPicPr>
                <pic:blipFill>
                  <a:blip r:embed="rId1"/>
                  <a:stretch>
                    <a:fillRect/>
                  </a:stretch>
                </pic:blipFill>
                <pic:spPr>
                  <a:xfrm>
                    <a:off x="0" y="0"/>
                    <a:ext cx="7632065" cy="81153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罗仕斌 [2]">
    <w15:presenceInfo w15:providerId="WPS Office" w15:userId="3097562107"/>
  </w15:person>
  <w15:person w15:author="KY-罗仕斌">
    <w15:presenceInfo w15:providerId="None" w15:userId="KY-罗仕斌"/>
  </w15:person>
  <w15:person w15:author="KYE--罗仕斌">
    <w15:presenceInfo w15:providerId="None" w15:userId="KYE--罗仕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978"/>
    <w:rsid w:val="00010E8C"/>
    <w:rsid w:val="0001179F"/>
    <w:rsid w:val="00016AF5"/>
    <w:rsid w:val="00022B9C"/>
    <w:rsid w:val="000401F0"/>
    <w:rsid w:val="00040F1E"/>
    <w:rsid w:val="00047663"/>
    <w:rsid w:val="00052104"/>
    <w:rsid w:val="00056B73"/>
    <w:rsid w:val="00061D87"/>
    <w:rsid w:val="00070F22"/>
    <w:rsid w:val="00072F49"/>
    <w:rsid w:val="000873E6"/>
    <w:rsid w:val="000912C4"/>
    <w:rsid w:val="000D7DA1"/>
    <w:rsid w:val="001076BC"/>
    <w:rsid w:val="00114B8B"/>
    <w:rsid w:val="00115643"/>
    <w:rsid w:val="00136FE9"/>
    <w:rsid w:val="001619C2"/>
    <w:rsid w:val="001622CB"/>
    <w:rsid w:val="00167399"/>
    <w:rsid w:val="0018231D"/>
    <w:rsid w:val="001903D2"/>
    <w:rsid w:val="001D7491"/>
    <w:rsid w:val="001E18E8"/>
    <w:rsid w:val="001F5CF3"/>
    <w:rsid w:val="001F7ECD"/>
    <w:rsid w:val="00220F98"/>
    <w:rsid w:val="00221616"/>
    <w:rsid w:val="00221D62"/>
    <w:rsid w:val="0023468F"/>
    <w:rsid w:val="00242035"/>
    <w:rsid w:val="002501DA"/>
    <w:rsid w:val="00251B1E"/>
    <w:rsid w:val="002719E9"/>
    <w:rsid w:val="00290F7C"/>
    <w:rsid w:val="002C0D35"/>
    <w:rsid w:val="002C18E8"/>
    <w:rsid w:val="002F11A2"/>
    <w:rsid w:val="002F64A2"/>
    <w:rsid w:val="002F7B73"/>
    <w:rsid w:val="00316556"/>
    <w:rsid w:val="00336691"/>
    <w:rsid w:val="00363FBF"/>
    <w:rsid w:val="00373138"/>
    <w:rsid w:val="00386C66"/>
    <w:rsid w:val="003A3BAA"/>
    <w:rsid w:val="003B3C6F"/>
    <w:rsid w:val="003C2121"/>
    <w:rsid w:val="003C76FF"/>
    <w:rsid w:val="003D3214"/>
    <w:rsid w:val="003D3FAC"/>
    <w:rsid w:val="003D46FB"/>
    <w:rsid w:val="003E20AA"/>
    <w:rsid w:val="004054FD"/>
    <w:rsid w:val="00411C34"/>
    <w:rsid w:val="00431215"/>
    <w:rsid w:val="0043275E"/>
    <w:rsid w:val="00444CA6"/>
    <w:rsid w:val="00457F11"/>
    <w:rsid w:val="0048296F"/>
    <w:rsid w:val="004936C9"/>
    <w:rsid w:val="00496455"/>
    <w:rsid w:val="004B5086"/>
    <w:rsid w:val="00504A07"/>
    <w:rsid w:val="00522600"/>
    <w:rsid w:val="005566A2"/>
    <w:rsid w:val="00562D69"/>
    <w:rsid w:val="005C2230"/>
    <w:rsid w:val="005D563A"/>
    <w:rsid w:val="005F7BD6"/>
    <w:rsid w:val="00601660"/>
    <w:rsid w:val="0060699E"/>
    <w:rsid w:val="006071F3"/>
    <w:rsid w:val="00616677"/>
    <w:rsid w:val="0062391F"/>
    <w:rsid w:val="00637F2D"/>
    <w:rsid w:val="0068700B"/>
    <w:rsid w:val="006A4CFD"/>
    <w:rsid w:val="006B34E8"/>
    <w:rsid w:val="006D191B"/>
    <w:rsid w:val="006D22E6"/>
    <w:rsid w:val="006E05B3"/>
    <w:rsid w:val="00703A3E"/>
    <w:rsid w:val="0070592D"/>
    <w:rsid w:val="0075502F"/>
    <w:rsid w:val="00760C00"/>
    <w:rsid w:val="007B2324"/>
    <w:rsid w:val="007B7498"/>
    <w:rsid w:val="007C4230"/>
    <w:rsid w:val="00813C81"/>
    <w:rsid w:val="0085370F"/>
    <w:rsid w:val="00860EF5"/>
    <w:rsid w:val="00881A43"/>
    <w:rsid w:val="008968A7"/>
    <w:rsid w:val="008A1288"/>
    <w:rsid w:val="008A4522"/>
    <w:rsid w:val="008A7B54"/>
    <w:rsid w:val="008B0135"/>
    <w:rsid w:val="008C781F"/>
    <w:rsid w:val="008D3A7A"/>
    <w:rsid w:val="0095229C"/>
    <w:rsid w:val="009638FA"/>
    <w:rsid w:val="009A659F"/>
    <w:rsid w:val="009B5283"/>
    <w:rsid w:val="009B62A6"/>
    <w:rsid w:val="009C48E4"/>
    <w:rsid w:val="009D00B5"/>
    <w:rsid w:val="009F1B50"/>
    <w:rsid w:val="009F4E4F"/>
    <w:rsid w:val="009F64A4"/>
    <w:rsid w:val="00A018E3"/>
    <w:rsid w:val="00A04F43"/>
    <w:rsid w:val="00A06115"/>
    <w:rsid w:val="00A10CD5"/>
    <w:rsid w:val="00A31002"/>
    <w:rsid w:val="00A37BA3"/>
    <w:rsid w:val="00A8193A"/>
    <w:rsid w:val="00A86276"/>
    <w:rsid w:val="00AA4EE9"/>
    <w:rsid w:val="00AB2B8F"/>
    <w:rsid w:val="00AD7DB9"/>
    <w:rsid w:val="00AE187F"/>
    <w:rsid w:val="00AF00FB"/>
    <w:rsid w:val="00B0255F"/>
    <w:rsid w:val="00B02EE0"/>
    <w:rsid w:val="00B03C94"/>
    <w:rsid w:val="00B10219"/>
    <w:rsid w:val="00B11089"/>
    <w:rsid w:val="00B429DD"/>
    <w:rsid w:val="00B453F3"/>
    <w:rsid w:val="00B52713"/>
    <w:rsid w:val="00B55602"/>
    <w:rsid w:val="00B70D64"/>
    <w:rsid w:val="00B743EA"/>
    <w:rsid w:val="00B8639B"/>
    <w:rsid w:val="00B90994"/>
    <w:rsid w:val="00BA19DE"/>
    <w:rsid w:val="00BA775C"/>
    <w:rsid w:val="00BB173A"/>
    <w:rsid w:val="00BB3448"/>
    <w:rsid w:val="00BB35C2"/>
    <w:rsid w:val="00BC6B68"/>
    <w:rsid w:val="00BD1260"/>
    <w:rsid w:val="00BD1644"/>
    <w:rsid w:val="00BD38C5"/>
    <w:rsid w:val="00C04308"/>
    <w:rsid w:val="00C15EF6"/>
    <w:rsid w:val="00C2731F"/>
    <w:rsid w:val="00C27E45"/>
    <w:rsid w:val="00C34227"/>
    <w:rsid w:val="00C65895"/>
    <w:rsid w:val="00C730E1"/>
    <w:rsid w:val="00C9464B"/>
    <w:rsid w:val="00CC192F"/>
    <w:rsid w:val="00CF40CA"/>
    <w:rsid w:val="00CF6A1C"/>
    <w:rsid w:val="00D14140"/>
    <w:rsid w:val="00D27335"/>
    <w:rsid w:val="00D430CF"/>
    <w:rsid w:val="00D53ADD"/>
    <w:rsid w:val="00D66978"/>
    <w:rsid w:val="00D71061"/>
    <w:rsid w:val="00D86337"/>
    <w:rsid w:val="00D95D6F"/>
    <w:rsid w:val="00DA3C97"/>
    <w:rsid w:val="00DB28EC"/>
    <w:rsid w:val="00E03F44"/>
    <w:rsid w:val="00E33C4A"/>
    <w:rsid w:val="00E350AB"/>
    <w:rsid w:val="00E41636"/>
    <w:rsid w:val="00E42801"/>
    <w:rsid w:val="00E42D97"/>
    <w:rsid w:val="00E5477E"/>
    <w:rsid w:val="00E64B16"/>
    <w:rsid w:val="00E67C19"/>
    <w:rsid w:val="00E73850"/>
    <w:rsid w:val="00E8794D"/>
    <w:rsid w:val="00EC4F30"/>
    <w:rsid w:val="00ED0B9D"/>
    <w:rsid w:val="00ED6F96"/>
    <w:rsid w:val="00EF4789"/>
    <w:rsid w:val="00F157C9"/>
    <w:rsid w:val="00F17C12"/>
    <w:rsid w:val="00F21876"/>
    <w:rsid w:val="00F2563E"/>
    <w:rsid w:val="00F30B18"/>
    <w:rsid w:val="00F3177F"/>
    <w:rsid w:val="00F92E81"/>
    <w:rsid w:val="00FA2F8C"/>
    <w:rsid w:val="00FA4053"/>
    <w:rsid w:val="00FC2758"/>
    <w:rsid w:val="00FE2919"/>
    <w:rsid w:val="00FE54BD"/>
    <w:rsid w:val="00FF202C"/>
    <w:rsid w:val="00FF38D6"/>
    <w:rsid w:val="01233235"/>
    <w:rsid w:val="01443456"/>
    <w:rsid w:val="01D27F23"/>
    <w:rsid w:val="01E52594"/>
    <w:rsid w:val="022A4465"/>
    <w:rsid w:val="0230620A"/>
    <w:rsid w:val="02EE5022"/>
    <w:rsid w:val="02FB7A71"/>
    <w:rsid w:val="036E799E"/>
    <w:rsid w:val="048B7E1A"/>
    <w:rsid w:val="04936387"/>
    <w:rsid w:val="04A53DAB"/>
    <w:rsid w:val="05A14CD8"/>
    <w:rsid w:val="05BB72BA"/>
    <w:rsid w:val="05E46AAE"/>
    <w:rsid w:val="071B5B47"/>
    <w:rsid w:val="072F04BE"/>
    <w:rsid w:val="077450F4"/>
    <w:rsid w:val="07872C33"/>
    <w:rsid w:val="07E41997"/>
    <w:rsid w:val="086410FB"/>
    <w:rsid w:val="096565F1"/>
    <w:rsid w:val="0A295F45"/>
    <w:rsid w:val="0AB20C7E"/>
    <w:rsid w:val="0B8256B8"/>
    <w:rsid w:val="0BB43AAE"/>
    <w:rsid w:val="0BC825E6"/>
    <w:rsid w:val="0C090A03"/>
    <w:rsid w:val="0C6B526F"/>
    <w:rsid w:val="0F26281C"/>
    <w:rsid w:val="11ED6976"/>
    <w:rsid w:val="12E7011B"/>
    <w:rsid w:val="13055A29"/>
    <w:rsid w:val="1383563F"/>
    <w:rsid w:val="13B82B00"/>
    <w:rsid w:val="13D33CB8"/>
    <w:rsid w:val="14847E50"/>
    <w:rsid w:val="14B90CDB"/>
    <w:rsid w:val="15186A82"/>
    <w:rsid w:val="16000B7D"/>
    <w:rsid w:val="163D342B"/>
    <w:rsid w:val="166B774D"/>
    <w:rsid w:val="174B599C"/>
    <w:rsid w:val="178105FB"/>
    <w:rsid w:val="17E50AF9"/>
    <w:rsid w:val="19594390"/>
    <w:rsid w:val="19DC675E"/>
    <w:rsid w:val="1A840D5C"/>
    <w:rsid w:val="1A85471A"/>
    <w:rsid w:val="1B4852A1"/>
    <w:rsid w:val="1B9A30D9"/>
    <w:rsid w:val="1BE20317"/>
    <w:rsid w:val="1C050296"/>
    <w:rsid w:val="1C0E3441"/>
    <w:rsid w:val="1CD8411A"/>
    <w:rsid w:val="1D43363C"/>
    <w:rsid w:val="1D482D62"/>
    <w:rsid w:val="1D700E10"/>
    <w:rsid w:val="1DE63FCB"/>
    <w:rsid w:val="1F0018F5"/>
    <w:rsid w:val="1F332205"/>
    <w:rsid w:val="1FEB5C1E"/>
    <w:rsid w:val="201531F5"/>
    <w:rsid w:val="205A27AE"/>
    <w:rsid w:val="21820311"/>
    <w:rsid w:val="233832DC"/>
    <w:rsid w:val="248A46EB"/>
    <w:rsid w:val="24993623"/>
    <w:rsid w:val="249B1340"/>
    <w:rsid w:val="24C64598"/>
    <w:rsid w:val="25E81308"/>
    <w:rsid w:val="26431F17"/>
    <w:rsid w:val="26D96C34"/>
    <w:rsid w:val="274C17FB"/>
    <w:rsid w:val="27752124"/>
    <w:rsid w:val="279509B8"/>
    <w:rsid w:val="2797791D"/>
    <w:rsid w:val="28D20E6B"/>
    <w:rsid w:val="292C23CA"/>
    <w:rsid w:val="2AD153E8"/>
    <w:rsid w:val="2B1E66AC"/>
    <w:rsid w:val="2B2E4EFB"/>
    <w:rsid w:val="2B512976"/>
    <w:rsid w:val="2B5A42A1"/>
    <w:rsid w:val="2BBA2916"/>
    <w:rsid w:val="2C7E3DD4"/>
    <w:rsid w:val="2CF8358D"/>
    <w:rsid w:val="2D2068E8"/>
    <w:rsid w:val="2D532E5A"/>
    <w:rsid w:val="2D6B3A48"/>
    <w:rsid w:val="2E851B98"/>
    <w:rsid w:val="2EC311CD"/>
    <w:rsid w:val="2F3B0856"/>
    <w:rsid w:val="2F441FC2"/>
    <w:rsid w:val="2F9E2C78"/>
    <w:rsid w:val="300D0546"/>
    <w:rsid w:val="308E6EF1"/>
    <w:rsid w:val="30CD64C3"/>
    <w:rsid w:val="314F1696"/>
    <w:rsid w:val="315723E8"/>
    <w:rsid w:val="31691119"/>
    <w:rsid w:val="31935069"/>
    <w:rsid w:val="329A790D"/>
    <w:rsid w:val="32EB28CE"/>
    <w:rsid w:val="32F94013"/>
    <w:rsid w:val="33376186"/>
    <w:rsid w:val="338616A3"/>
    <w:rsid w:val="33961248"/>
    <w:rsid w:val="339A2B69"/>
    <w:rsid w:val="33BD152D"/>
    <w:rsid w:val="344053CC"/>
    <w:rsid w:val="34DB154B"/>
    <w:rsid w:val="350F014F"/>
    <w:rsid w:val="363B1820"/>
    <w:rsid w:val="36B46992"/>
    <w:rsid w:val="37222E7F"/>
    <w:rsid w:val="37664B0B"/>
    <w:rsid w:val="37942111"/>
    <w:rsid w:val="38595C47"/>
    <w:rsid w:val="398374AE"/>
    <w:rsid w:val="398C4E86"/>
    <w:rsid w:val="3A5423D6"/>
    <w:rsid w:val="3A8B614A"/>
    <w:rsid w:val="3B914C0D"/>
    <w:rsid w:val="3BD10277"/>
    <w:rsid w:val="3CBC2FC1"/>
    <w:rsid w:val="3CE0107E"/>
    <w:rsid w:val="3D106B88"/>
    <w:rsid w:val="3D5F58CD"/>
    <w:rsid w:val="3E021BAD"/>
    <w:rsid w:val="3E037FD7"/>
    <w:rsid w:val="3E30127E"/>
    <w:rsid w:val="3E752261"/>
    <w:rsid w:val="3F0C48A0"/>
    <w:rsid w:val="3F9F4471"/>
    <w:rsid w:val="40344E87"/>
    <w:rsid w:val="40EB4976"/>
    <w:rsid w:val="41C07723"/>
    <w:rsid w:val="421D2AC9"/>
    <w:rsid w:val="428256B9"/>
    <w:rsid w:val="43B210FD"/>
    <w:rsid w:val="43CE0EC8"/>
    <w:rsid w:val="44DB438A"/>
    <w:rsid w:val="45EA5D84"/>
    <w:rsid w:val="465D4EB6"/>
    <w:rsid w:val="46855007"/>
    <w:rsid w:val="46F96B20"/>
    <w:rsid w:val="47222D48"/>
    <w:rsid w:val="47507903"/>
    <w:rsid w:val="475F260F"/>
    <w:rsid w:val="478919B3"/>
    <w:rsid w:val="479B5B05"/>
    <w:rsid w:val="48AE3DAB"/>
    <w:rsid w:val="48B453EF"/>
    <w:rsid w:val="48B9049E"/>
    <w:rsid w:val="48CE1A9D"/>
    <w:rsid w:val="48D515E0"/>
    <w:rsid w:val="48F01D20"/>
    <w:rsid w:val="49207646"/>
    <w:rsid w:val="49A02F83"/>
    <w:rsid w:val="4B0F355C"/>
    <w:rsid w:val="4B783EB9"/>
    <w:rsid w:val="4BC52623"/>
    <w:rsid w:val="4C014214"/>
    <w:rsid w:val="4D2D3C87"/>
    <w:rsid w:val="4D4D0068"/>
    <w:rsid w:val="4D82082E"/>
    <w:rsid w:val="4DA665F7"/>
    <w:rsid w:val="4DCF0568"/>
    <w:rsid w:val="4DD74D3E"/>
    <w:rsid w:val="4ED56ECE"/>
    <w:rsid w:val="4FAC6986"/>
    <w:rsid w:val="501C2A75"/>
    <w:rsid w:val="50A36358"/>
    <w:rsid w:val="50EA31C4"/>
    <w:rsid w:val="518319EA"/>
    <w:rsid w:val="51CD0167"/>
    <w:rsid w:val="52B17FEA"/>
    <w:rsid w:val="52DD5403"/>
    <w:rsid w:val="548A1AE0"/>
    <w:rsid w:val="55DB1F05"/>
    <w:rsid w:val="565177BC"/>
    <w:rsid w:val="56851F2D"/>
    <w:rsid w:val="56891596"/>
    <w:rsid w:val="5717282B"/>
    <w:rsid w:val="572D29F1"/>
    <w:rsid w:val="58094A46"/>
    <w:rsid w:val="585B4D2F"/>
    <w:rsid w:val="587F3F59"/>
    <w:rsid w:val="58D72D80"/>
    <w:rsid w:val="58EE78DA"/>
    <w:rsid w:val="596A634D"/>
    <w:rsid w:val="5A801CC4"/>
    <w:rsid w:val="5B47736D"/>
    <w:rsid w:val="5B9578E8"/>
    <w:rsid w:val="5BE919C6"/>
    <w:rsid w:val="5C5B4D65"/>
    <w:rsid w:val="5CF45BAD"/>
    <w:rsid w:val="5EAB7C75"/>
    <w:rsid w:val="5EDA6C6D"/>
    <w:rsid w:val="5EDF64D1"/>
    <w:rsid w:val="5F205DF0"/>
    <w:rsid w:val="5F5520E8"/>
    <w:rsid w:val="5F6E1BB8"/>
    <w:rsid w:val="5FB96260"/>
    <w:rsid w:val="62E44E3D"/>
    <w:rsid w:val="62EC3C65"/>
    <w:rsid w:val="639F47A9"/>
    <w:rsid w:val="641500B1"/>
    <w:rsid w:val="646540B7"/>
    <w:rsid w:val="65906730"/>
    <w:rsid w:val="66954DB0"/>
    <w:rsid w:val="66C5693F"/>
    <w:rsid w:val="679E2D8C"/>
    <w:rsid w:val="68132C2E"/>
    <w:rsid w:val="68AF05F2"/>
    <w:rsid w:val="68C53D17"/>
    <w:rsid w:val="69B84A74"/>
    <w:rsid w:val="69C5502F"/>
    <w:rsid w:val="69F4006A"/>
    <w:rsid w:val="6A740ADC"/>
    <w:rsid w:val="6A86269E"/>
    <w:rsid w:val="6B040666"/>
    <w:rsid w:val="6B0C49B5"/>
    <w:rsid w:val="6BFA5DEA"/>
    <w:rsid w:val="6C0A7BF4"/>
    <w:rsid w:val="6D442489"/>
    <w:rsid w:val="6D4B46F8"/>
    <w:rsid w:val="6D5D48F3"/>
    <w:rsid w:val="6F974735"/>
    <w:rsid w:val="70CF50C4"/>
    <w:rsid w:val="716414CC"/>
    <w:rsid w:val="71924B1B"/>
    <w:rsid w:val="71BF1D8E"/>
    <w:rsid w:val="71C601D4"/>
    <w:rsid w:val="71CF1346"/>
    <w:rsid w:val="71D928E6"/>
    <w:rsid w:val="7203399B"/>
    <w:rsid w:val="72306B1A"/>
    <w:rsid w:val="723F24B3"/>
    <w:rsid w:val="72436F18"/>
    <w:rsid w:val="728B7234"/>
    <w:rsid w:val="72992328"/>
    <w:rsid w:val="72B66075"/>
    <w:rsid w:val="72C15E72"/>
    <w:rsid w:val="744607E2"/>
    <w:rsid w:val="74575B03"/>
    <w:rsid w:val="749A1DE9"/>
    <w:rsid w:val="74D91FE5"/>
    <w:rsid w:val="74E65F5E"/>
    <w:rsid w:val="75F455C3"/>
    <w:rsid w:val="764D7A09"/>
    <w:rsid w:val="768B76C4"/>
    <w:rsid w:val="768E6D50"/>
    <w:rsid w:val="76E93285"/>
    <w:rsid w:val="774F5390"/>
    <w:rsid w:val="7789597A"/>
    <w:rsid w:val="779331BC"/>
    <w:rsid w:val="77D44C46"/>
    <w:rsid w:val="784D2376"/>
    <w:rsid w:val="7874617E"/>
    <w:rsid w:val="78994FED"/>
    <w:rsid w:val="792B3BD3"/>
    <w:rsid w:val="7972657D"/>
    <w:rsid w:val="7A0C4803"/>
    <w:rsid w:val="7A2F454E"/>
    <w:rsid w:val="7A5F58F5"/>
    <w:rsid w:val="7B6B4E1A"/>
    <w:rsid w:val="7BFA517B"/>
    <w:rsid w:val="7C1B186E"/>
    <w:rsid w:val="7C7220C4"/>
    <w:rsid w:val="7CF020FB"/>
    <w:rsid w:val="7EE079CF"/>
    <w:rsid w:val="7F181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kern w:val="2"/>
      <w:sz w:val="18"/>
      <w:szCs w:val="18"/>
    </w:rPr>
  </w:style>
  <w:style w:type="character" w:customStyle="1" w:styleId="13">
    <w:name w:val="批注文字 字符"/>
    <w:basedOn w:val="8"/>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4.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19</Pages>
  <Words>2255</Words>
  <Characters>12860</Characters>
  <Lines>107</Lines>
  <Paragraphs>30</Paragraphs>
  <TotalTime>158</TotalTime>
  <ScaleCrop>false</ScaleCrop>
  <LinksUpToDate>false</LinksUpToDate>
  <CharactersWithSpaces>15085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2018-03-30T07:52:00Z</dcterms:created>
  <dc:creator>Windows User</dc:creator>
  <cp:lastModifiedBy>Administrator</cp:lastModifiedBy>
  <cp:lastPrinted>2018-04-13T09:01:00Z</cp:lastPrinted>
  <dcterms:modified xsi:type="dcterms:W3CDTF">2020-08-19T09:30:56Z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