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-41910</wp:posOffset>
            </wp:positionV>
            <wp:extent cx="1285875" cy="650875"/>
            <wp:effectExtent l="0" t="0" r="9525" b="15875"/>
            <wp:wrapNone/>
            <wp:docPr id="1" name="Picture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光华荣昌修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280" w:lineRule="exact"/>
        <w:ind w:right="-6"/>
        <w:rPr>
          <w:rFonts w:hint="eastAsia"/>
          <w:sz w:val="28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Cs w:val="21"/>
          <w:lang w:eastAsia="zh-CN"/>
        </w:rPr>
        <w:t>潍坊光华荣昌汽车技术有限公司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1"/>
        </w:rPr>
        <w:t xml:space="preserve">    </w:t>
      </w:r>
      <w:r>
        <w:rPr>
          <w:rFonts w:hint="eastAsia"/>
          <w:sz w:val="28"/>
          <w:szCs w:val="21"/>
          <w:lang w:val="en-US" w:eastAsia="zh-CN"/>
        </w:rPr>
        <w:t xml:space="preserve">       </w:t>
      </w:r>
      <w:r>
        <w:rPr>
          <w:rFonts w:hint="eastAsia"/>
          <w:szCs w:val="21"/>
        </w:rPr>
        <w:t xml:space="preserve">（内部）   </w:t>
      </w:r>
    </w:p>
    <w:p>
      <w:pPr>
        <w:spacing w:line="280" w:lineRule="exact"/>
        <w:ind w:right="-6"/>
        <w:rPr>
          <w:rFonts w:hint="default" w:ascii="宋体" w:hAnsi="宋体"/>
          <w:sz w:val="24"/>
          <w:lang w:val="en-US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default"/>
          <w:sz w:val="15"/>
          <w:szCs w:val="15"/>
          <w:lang w:val="en-US" w:eastAsia="zh-CN"/>
        </w:rPr>
        <w:t>WEIFANG</w:t>
      </w:r>
      <w:r>
        <w:rPr>
          <w:rFonts w:hint="eastAsia"/>
          <w:sz w:val="15"/>
          <w:szCs w:val="15"/>
          <w:lang w:val="en-US" w:eastAsia="zh-CN"/>
        </w:rPr>
        <w:t xml:space="preserve"> </w:t>
      </w:r>
      <w:r>
        <w:rPr>
          <w:rFonts w:hint="default"/>
          <w:sz w:val="15"/>
          <w:szCs w:val="15"/>
          <w:lang w:val="en-US" w:eastAsia="zh-CN"/>
        </w:rPr>
        <w:t>GOLDRARE</w:t>
      </w:r>
      <w:r>
        <w:rPr>
          <w:rFonts w:hint="eastAsia"/>
          <w:sz w:val="15"/>
          <w:szCs w:val="15"/>
          <w:lang w:val="en-US" w:eastAsia="zh-CN"/>
        </w:rPr>
        <w:t xml:space="preserve"> Automobile parts CO.,LTD</w:t>
      </w:r>
      <w:r>
        <w:rPr>
          <w:rFonts w:hint="eastAsia"/>
          <w:sz w:val="15"/>
          <w:szCs w:val="21"/>
        </w:rPr>
        <w:t xml:space="preserve"> 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  <w:lang w:val="en-US" w:eastAsia="zh-CN"/>
        </w:rPr>
        <w:t xml:space="preserve">        </w:t>
      </w:r>
      <w:r>
        <w:rPr>
          <w:rFonts w:hint="eastAsia"/>
          <w:szCs w:val="21"/>
        </w:rPr>
        <w:t xml:space="preserve">       </w:t>
      </w:r>
      <w:r>
        <w:rPr>
          <w:rFonts w:hint="eastAsia" w:ascii="宋体" w:hAnsi="宋体"/>
          <w:sz w:val="24"/>
        </w:rPr>
        <w:t xml:space="preserve">编号：  </w:t>
      </w:r>
      <w:r>
        <w:rPr>
          <w:rFonts w:hint="eastAsia" w:ascii="宋体" w:hAnsi="宋体"/>
          <w:sz w:val="24"/>
          <w:lang w:val="en-US" w:eastAsia="zh-CN"/>
        </w:rPr>
        <w:t>WLGL</w:t>
      </w:r>
      <w:r>
        <w:rPr>
          <w:rFonts w:hint="eastAsia" w:ascii="宋体" w:hAnsi="宋体"/>
          <w:sz w:val="24"/>
        </w:rPr>
        <w:t>-20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9-21</w:t>
      </w:r>
    </w:p>
    <w:tbl>
      <w:tblPr>
        <w:tblStyle w:val="2"/>
        <w:tblW w:w="0" w:type="auto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申请            □通知           □通报             □报告 </w:t>
            </w:r>
          </w:p>
        </w:tc>
      </w:tr>
    </w:tbl>
    <w:p>
      <w:pPr>
        <w:jc w:val="center"/>
        <w:rPr>
          <w:rFonts w:hint="eastAsia" w:eastAsia="宋体"/>
          <w:b/>
          <w:sz w:val="36"/>
          <w:szCs w:val="36"/>
          <w:u w:val="single"/>
          <w:lang w:val="en-US" w:eastAsia="zh-CN"/>
        </w:rPr>
      </w:pPr>
      <w:r>
        <w:rPr>
          <w:rFonts w:hint="eastAsia"/>
          <w:b/>
          <w:sz w:val="36"/>
          <w:szCs w:val="36"/>
          <w:u w:val="single"/>
          <w:lang w:eastAsia="zh-CN"/>
        </w:rPr>
        <w:t>关于成品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运输车维修及保养的申请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2208"/>
        <w:gridCol w:w="2511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32"/>
                <w:lang w:eastAsia="zh-CN"/>
              </w:rPr>
              <w:t>公司领导：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30"/>
                <w:lang w:val="en-US" w:eastAsia="zh-CN"/>
              </w:rPr>
              <w:t>目的：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1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30"/>
                <w:lang w:val="en-US" w:eastAsia="zh-CN"/>
              </w:rPr>
              <w:t>冀JS6377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30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30"/>
                <w:vertAlign w:val="baseline"/>
                <w:lang w:val="en-US" w:eastAsia="zh-CN"/>
              </w:rPr>
              <w:t>冀JQ3517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30"/>
                <w:lang w:val="en-US" w:eastAsia="zh-CN"/>
              </w:rPr>
              <w:t>运输车根据日常保养项目已到保养里程，应对三芯、机油进行更换，日常行驶中车辆出现制动阀刹车行程延迟，近期水箱高温报警，存在安全隐患，建议进行维修。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二、费用明细</w:t>
            </w:r>
          </w:p>
          <w:tbl>
            <w:tblPr>
              <w:tblStyle w:val="3"/>
              <w:tblW w:w="943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2"/>
              <w:gridCol w:w="1471"/>
              <w:gridCol w:w="2955"/>
              <w:gridCol w:w="1616"/>
              <w:gridCol w:w="25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  <w:jc w:val="center"/>
              </w:trPr>
              <w:tc>
                <w:tcPr>
                  <w:tcW w:w="87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bCs w:val="0"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sz w:val="24"/>
                      <w:szCs w:val="30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47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bCs w:val="0"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sz w:val="24"/>
                      <w:szCs w:val="30"/>
                      <w:vertAlign w:val="baseline"/>
                      <w:lang w:val="en-US" w:eastAsia="zh-CN"/>
                    </w:rPr>
                    <w:t>车牌</w:t>
                  </w:r>
                </w:p>
              </w:tc>
              <w:tc>
                <w:tcPr>
                  <w:tcW w:w="295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bCs w:val="0"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sz w:val="24"/>
                      <w:szCs w:val="30"/>
                      <w:vertAlign w:val="baseline"/>
                      <w:lang w:val="en-US" w:eastAsia="zh-CN"/>
                    </w:rPr>
                    <w:t>维修事项</w:t>
                  </w:r>
                </w:p>
              </w:tc>
              <w:tc>
                <w:tcPr>
                  <w:tcW w:w="161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bCs w:val="0"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sz w:val="24"/>
                      <w:szCs w:val="30"/>
                      <w:vertAlign w:val="baseline"/>
                      <w:lang w:val="en-US" w:eastAsia="zh-CN"/>
                    </w:rPr>
                    <w:t>维修费用</w:t>
                  </w:r>
                </w:p>
              </w:tc>
              <w:tc>
                <w:tcPr>
                  <w:tcW w:w="252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/>
                      <w:bCs w:val="0"/>
                      <w:kern w:val="2"/>
                      <w:sz w:val="24"/>
                      <w:szCs w:val="3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kern w:val="2"/>
                      <w:sz w:val="24"/>
                      <w:szCs w:val="30"/>
                      <w:vertAlign w:val="baseline"/>
                      <w:lang w:val="en-US" w:eastAsia="zh-CN" w:bidi="ar-SA"/>
                    </w:rPr>
                    <w:t>合计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3" w:hRule="atLeast"/>
                <w:jc w:val="center"/>
              </w:trPr>
              <w:tc>
                <w:tcPr>
                  <w:tcW w:w="87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471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0"/>
                      <w:lang w:val="en-US" w:eastAsia="zh-CN"/>
                    </w:rPr>
                    <w:t>冀JS6377</w:t>
                  </w:r>
                </w:p>
              </w:tc>
              <w:tc>
                <w:tcPr>
                  <w:tcW w:w="295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color w:val="0000FF"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  <w:t>保轮4个</w:t>
                  </w:r>
                </w:p>
              </w:tc>
              <w:tc>
                <w:tcPr>
                  <w:tcW w:w="161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  <w:t>360</w:t>
                  </w:r>
                </w:p>
              </w:tc>
              <w:tc>
                <w:tcPr>
                  <w:tcW w:w="2524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color w:val="auto"/>
                      <w:kern w:val="2"/>
                      <w:sz w:val="24"/>
                      <w:szCs w:val="3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color w:val="auto"/>
                      <w:kern w:val="2"/>
                      <w:sz w:val="24"/>
                      <w:szCs w:val="30"/>
                      <w:vertAlign w:val="baseline"/>
                      <w:lang w:val="en-US" w:eastAsia="zh-CN" w:bidi="ar-SA"/>
                    </w:rPr>
                    <w:t>1950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kern w:val="2"/>
                      <w:sz w:val="24"/>
                      <w:szCs w:val="30"/>
                      <w:vertAlign w:val="baseline"/>
                      <w:lang w:val="en-US" w:eastAsia="zh-CN" w:bidi="ar-SA"/>
                    </w:rPr>
                    <w:t>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7" w:hRule="atLeast"/>
                <w:jc w:val="center"/>
              </w:trPr>
              <w:tc>
                <w:tcPr>
                  <w:tcW w:w="87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47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5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0"/>
                      <w:lang w:val="en-US" w:eastAsia="zh-CN"/>
                    </w:rPr>
                    <w:t>三芯、机油、换油管</w:t>
                  </w:r>
                </w:p>
              </w:tc>
              <w:tc>
                <w:tcPr>
                  <w:tcW w:w="161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  <w:t>560</w:t>
                  </w:r>
                </w:p>
              </w:tc>
              <w:tc>
                <w:tcPr>
                  <w:tcW w:w="2524" w:type="dxa"/>
                  <w:vMerge w:val="continue"/>
                  <w:tcBorders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7" w:hRule="atLeast"/>
                <w:jc w:val="center"/>
              </w:trPr>
              <w:tc>
                <w:tcPr>
                  <w:tcW w:w="87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47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5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4"/>
                      <w:szCs w:val="30"/>
                      <w:lang w:val="en-US" w:eastAsia="zh-CN"/>
                    </w:rPr>
                    <w:t>仪表盘机油电子表</w:t>
                  </w:r>
                </w:p>
              </w:tc>
              <w:tc>
                <w:tcPr>
                  <w:tcW w:w="161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  <w:t>180</w:t>
                  </w:r>
                </w:p>
              </w:tc>
              <w:tc>
                <w:tcPr>
                  <w:tcW w:w="2524" w:type="dxa"/>
                  <w:vMerge w:val="continue"/>
                  <w:tcBorders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7" w:hRule="atLeast"/>
                <w:jc w:val="center"/>
              </w:trPr>
              <w:tc>
                <w:tcPr>
                  <w:tcW w:w="87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471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  <w:t>冀JQ3517</w:t>
                  </w:r>
                </w:p>
              </w:tc>
              <w:tc>
                <w:tcPr>
                  <w:tcW w:w="295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  <w:t>水箱更换</w:t>
                  </w:r>
                </w:p>
              </w:tc>
              <w:tc>
                <w:tcPr>
                  <w:tcW w:w="161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  <w:t>150</w:t>
                  </w:r>
                </w:p>
              </w:tc>
              <w:tc>
                <w:tcPr>
                  <w:tcW w:w="2524" w:type="dxa"/>
                  <w:vMerge w:val="continue"/>
                  <w:tcBorders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7" w:hRule="atLeast"/>
                <w:jc w:val="center"/>
              </w:trPr>
              <w:tc>
                <w:tcPr>
                  <w:tcW w:w="87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471" w:type="dxa"/>
                  <w:vMerge w:val="continue"/>
                  <w:tcBorders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5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0"/>
                      <w:lang w:val="en-US" w:eastAsia="zh-CN"/>
                    </w:rPr>
                    <w:t>三芯、机油、换油管</w:t>
                  </w:r>
                </w:p>
              </w:tc>
              <w:tc>
                <w:tcPr>
                  <w:tcW w:w="161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  <w:t>560</w:t>
                  </w:r>
                </w:p>
              </w:tc>
              <w:tc>
                <w:tcPr>
                  <w:tcW w:w="2524" w:type="dxa"/>
                  <w:vMerge w:val="continue"/>
                  <w:tcBorders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7" w:hRule="atLeast"/>
                <w:jc w:val="center"/>
              </w:trPr>
              <w:tc>
                <w:tcPr>
                  <w:tcW w:w="87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4"/>
                      <w:szCs w:val="30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4426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4"/>
                      <w:szCs w:val="30"/>
                      <w:lang w:val="en-US" w:eastAsia="zh-CN"/>
                    </w:rPr>
                    <w:t>工时费</w:t>
                  </w:r>
                </w:p>
              </w:tc>
              <w:tc>
                <w:tcPr>
                  <w:tcW w:w="161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default" w:ascii="宋体" w:hAnsi="宋体" w:eastAsia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  <w:t>140</w:t>
                  </w:r>
                </w:p>
              </w:tc>
              <w:tc>
                <w:tcPr>
                  <w:tcW w:w="2524" w:type="dxa"/>
                  <w:vMerge w:val="continue"/>
                  <w:tcBorders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4"/>
                      <w:szCs w:val="30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30"/>
                <w:lang w:val="en-US" w:eastAsia="zh-CN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6960" w:firstLineChars="29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30"/>
                <w:lang w:val="en-US" w:eastAsia="zh-CN"/>
              </w:rPr>
              <w:t xml:space="preserve">  请领导审核批准！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30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拟文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李林峰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审核：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2020-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发起部门：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领导意见：</w:t>
            </w:r>
          </w:p>
        </w:tc>
        <w:tc>
          <w:tcPr>
            <w:tcW w:w="47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日期：</w:t>
            </w:r>
          </w:p>
        </w:tc>
      </w:tr>
    </w:tbl>
    <w:p>
      <w:pPr>
        <w:rPr>
          <w:rFonts w:hint="eastAsia" w:eastAsia="宋体"/>
          <w:sz w:val="24"/>
          <w:lang w:eastAsia="zh-CN"/>
        </w:rPr>
      </w:pPr>
    </w:p>
    <w:p/>
    <w:sectPr>
      <w:pgSz w:w="11906" w:h="16838"/>
      <w:pgMar w:top="720" w:right="720" w:bottom="29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B8A69"/>
    <w:multiLevelType w:val="singleLevel"/>
    <w:tmpl w:val="56FB8A6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34C36"/>
    <w:rsid w:val="7E6C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dcterms:modified xsi:type="dcterms:W3CDTF">2020-09-23T09:20:55Z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