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房屋租赁协议</w:t>
      </w:r>
    </w:p>
    <w:p>
      <w:pPr>
        <w:jc w:val="center"/>
        <w:rPr>
          <w:sz w:val="13"/>
          <w:szCs w:val="44"/>
        </w:rPr>
      </w:pPr>
    </w:p>
    <w:p>
      <w:pPr>
        <w:rPr>
          <w:rFonts w:ascii="仿宋_GB2312" w:eastAsia="仿宋_GB2312"/>
          <w:sz w:val="28"/>
          <w:szCs w:val="28"/>
        </w:rPr>
      </w:pPr>
      <w:r>
        <w:rPr>
          <w:rFonts w:hint="eastAsia" w:ascii="仿宋_GB2312" w:eastAsia="仿宋_GB2312"/>
          <w:sz w:val="28"/>
          <w:szCs w:val="28"/>
        </w:rPr>
        <w:t>甲方：北京光华荣昌汽车部件有限公司（以下简称甲方）</w:t>
      </w:r>
    </w:p>
    <w:p>
      <w:pPr>
        <w:rPr>
          <w:rFonts w:ascii="仿宋_GB2312" w:eastAsia="仿宋_GB2312"/>
          <w:sz w:val="28"/>
          <w:szCs w:val="28"/>
        </w:rPr>
      </w:pPr>
      <w:r>
        <w:rPr>
          <w:rFonts w:hint="eastAsia" w:ascii="仿宋_GB2312" w:eastAsia="仿宋_GB2312"/>
          <w:sz w:val="28"/>
          <w:szCs w:val="28"/>
        </w:rPr>
        <w:t>乙方：北京瑞隆祥模具有限公司（以下简称乙方）</w:t>
      </w:r>
    </w:p>
    <w:p>
      <w:pPr>
        <w:ind w:firstLine="560" w:firstLineChars="200"/>
        <w:rPr>
          <w:rFonts w:ascii="仿宋_GB2312" w:eastAsia="仿宋_GB2312"/>
          <w:sz w:val="28"/>
          <w:szCs w:val="28"/>
        </w:rPr>
      </w:pPr>
      <w:r>
        <w:rPr>
          <w:rFonts w:hint="eastAsia" w:ascii="仿宋_GB2312" w:eastAsia="仿宋_GB2312"/>
          <w:sz w:val="28"/>
          <w:szCs w:val="28"/>
        </w:rPr>
        <w:t>甲乙双方经友好协商，就乙方租用甲方办公室及厂房一事达成如下协议：</w:t>
      </w:r>
    </w:p>
    <w:p>
      <w:pPr>
        <w:rPr>
          <w:rFonts w:ascii="仿宋_GB2312" w:eastAsia="仿宋_GB2312"/>
          <w:b/>
          <w:sz w:val="32"/>
          <w:szCs w:val="28"/>
        </w:rPr>
      </w:pPr>
      <w:r>
        <w:rPr>
          <w:rFonts w:hint="eastAsia" w:ascii="仿宋_GB2312" w:eastAsia="仿宋_GB2312"/>
          <w:b/>
          <w:sz w:val="32"/>
          <w:szCs w:val="28"/>
        </w:rPr>
        <w:t>一、涉费事项</w:t>
      </w:r>
    </w:p>
    <w:p>
      <w:pPr>
        <w:pStyle w:val="7"/>
        <w:numPr>
          <w:ilvl w:val="0"/>
          <w:numId w:val="1"/>
        </w:numPr>
        <w:ind w:firstLineChars="0"/>
        <w:rPr>
          <w:rFonts w:ascii="仿宋_GB2312" w:eastAsia="仿宋_GB2312"/>
          <w:sz w:val="28"/>
          <w:szCs w:val="28"/>
        </w:rPr>
      </w:pPr>
      <w:r>
        <w:rPr>
          <w:rFonts w:hint="eastAsia" w:ascii="仿宋_GB2312" w:eastAsia="仿宋_GB2312"/>
          <w:sz w:val="28"/>
          <w:szCs w:val="28"/>
        </w:rPr>
        <w:t>甲方的租赁物及租赁价格详细情况：</w:t>
      </w:r>
    </w:p>
    <w:tbl>
      <w:tblPr>
        <w:tblStyle w:val="4"/>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566"/>
        <w:gridCol w:w="850"/>
        <w:gridCol w:w="993"/>
        <w:gridCol w:w="708"/>
        <w:gridCol w:w="1194"/>
        <w:gridCol w:w="114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57"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序号</w:t>
            </w:r>
          </w:p>
        </w:tc>
        <w:tc>
          <w:tcPr>
            <w:tcW w:w="2566"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租赁物名称</w:t>
            </w:r>
          </w:p>
        </w:tc>
        <w:tc>
          <w:tcPr>
            <w:tcW w:w="850"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东西长</w:t>
            </w:r>
          </w:p>
        </w:tc>
        <w:tc>
          <w:tcPr>
            <w:tcW w:w="993"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南北长</w:t>
            </w:r>
          </w:p>
        </w:tc>
        <w:tc>
          <w:tcPr>
            <w:tcW w:w="708"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单位</w:t>
            </w:r>
          </w:p>
        </w:tc>
        <w:tc>
          <w:tcPr>
            <w:tcW w:w="1194"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面积</w:t>
            </w:r>
          </w:p>
        </w:tc>
        <w:tc>
          <w:tcPr>
            <w:tcW w:w="1140"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日单价</w:t>
            </w:r>
          </w:p>
        </w:tc>
        <w:tc>
          <w:tcPr>
            <w:tcW w:w="1540"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日金额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57" w:type="dxa"/>
            <w:vMerge w:val="restart"/>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1</w:t>
            </w:r>
          </w:p>
        </w:tc>
        <w:tc>
          <w:tcPr>
            <w:tcW w:w="2566"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甲方篮球场东侧车间（原注塑车间）一层西跨</w:t>
            </w:r>
          </w:p>
        </w:tc>
        <w:tc>
          <w:tcPr>
            <w:tcW w:w="850"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18.25</w:t>
            </w:r>
          </w:p>
        </w:tc>
        <w:tc>
          <w:tcPr>
            <w:tcW w:w="993"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84.9</w:t>
            </w:r>
          </w:p>
        </w:tc>
        <w:tc>
          <w:tcPr>
            <w:tcW w:w="708"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m</w:t>
            </w:r>
            <w:r>
              <w:rPr>
                <w:rFonts w:hint="eastAsia" w:ascii="仿宋_GB2312" w:eastAsia="仿宋_GB2312"/>
                <w:color w:val="000000"/>
                <w:szCs w:val="21"/>
                <w:vertAlign w:val="superscript"/>
              </w:rPr>
              <w:t>2</w:t>
            </w:r>
          </w:p>
        </w:tc>
        <w:tc>
          <w:tcPr>
            <w:tcW w:w="1194"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1549.425</w:t>
            </w:r>
          </w:p>
        </w:tc>
        <w:tc>
          <w:tcPr>
            <w:tcW w:w="1140"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0.80</w:t>
            </w:r>
          </w:p>
        </w:tc>
        <w:tc>
          <w:tcPr>
            <w:tcW w:w="1540"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1,239.54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7" w:type="dxa"/>
            <w:vMerge w:val="continue"/>
            <w:vAlign w:val="center"/>
          </w:tcPr>
          <w:p>
            <w:pPr>
              <w:jc w:val="center"/>
              <w:rPr>
                <w:rFonts w:ascii="仿宋_GB2312" w:hAnsi="宋体" w:eastAsia="仿宋_GB2312" w:cs="宋体"/>
                <w:color w:val="000000"/>
                <w:szCs w:val="21"/>
              </w:rPr>
            </w:pPr>
          </w:p>
        </w:tc>
        <w:tc>
          <w:tcPr>
            <w:tcW w:w="2566"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减配电厢</w:t>
            </w:r>
          </w:p>
        </w:tc>
        <w:tc>
          <w:tcPr>
            <w:tcW w:w="850"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8.04</w:t>
            </w:r>
          </w:p>
        </w:tc>
        <w:tc>
          <w:tcPr>
            <w:tcW w:w="993"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-6.5</w:t>
            </w:r>
          </w:p>
        </w:tc>
        <w:tc>
          <w:tcPr>
            <w:tcW w:w="708"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m</w:t>
            </w:r>
            <w:r>
              <w:rPr>
                <w:rFonts w:hint="eastAsia" w:ascii="仿宋_GB2312" w:eastAsia="仿宋_GB2312"/>
                <w:color w:val="000000"/>
                <w:szCs w:val="21"/>
                <w:vertAlign w:val="superscript"/>
              </w:rPr>
              <w:t>2</w:t>
            </w:r>
          </w:p>
        </w:tc>
        <w:tc>
          <w:tcPr>
            <w:tcW w:w="1194"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-52.26</w:t>
            </w:r>
          </w:p>
        </w:tc>
        <w:tc>
          <w:tcPr>
            <w:tcW w:w="1140"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0.80</w:t>
            </w:r>
          </w:p>
        </w:tc>
        <w:tc>
          <w:tcPr>
            <w:tcW w:w="1540"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-41.81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57"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2</w:t>
            </w:r>
          </w:p>
        </w:tc>
        <w:tc>
          <w:tcPr>
            <w:tcW w:w="2566"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车间南侧一楼办公室</w:t>
            </w:r>
          </w:p>
        </w:tc>
        <w:tc>
          <w:tcPr>
            <w:tcW w:w="850"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18.14</w:t>
            </w:r>
          </w:p>
        </w:tc>
        <w:tc>
          <w:tcPr>
            <w:tcW w:w="993"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11</w:t>
            </w:r>
          </w:p>
        </w:tc>
        <w:tc>
          <w:tcPr>
            <w:tcW w:w="708"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m</w:t>
            </w:r>
            <w:r>
              <w:rPr>
                <w:rFonts w:hint="eastAsia" w:ascii="仿宋_GB2312" w:eastAsia="仿宋_GB2312"/>
                <w:color w:val="000000"/>
                <w:szCs w:val="21"/>
                <w:vertAlign w:val="superscript"/>
              </w:rPr>
              <w:t>2</w:t>
            </w:r>
          </w:p>
        </w:tc>
        <w:tc>
          <w:tcPr>
            <w:tcW w:w="1194"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199.54</w:t>
            </w:r>
          </w:p>
        </w:tc>
        <w:tc>
          <w:tcPr>
            <w:tcW w:w="1140" w:type="dxa"/>
            <w:shd w:val="clear" w:color="000000" w:fill="FFFFFF"/>
            <w:vAlign w:val="center"/>
          </w:tcPr>
          <w:p>
            <w:pPr>
              <w:jc w:val="center"/>
              <w:rPr>
                <w:rFonts w:asciiTheme="minorEastAsia" w:hAnsiTheme="minorEastAsia"/>
                <w:color w:val="000000"/>
                <w:sz w:val="22"/>
                <w:szCs w:val="21"/>
              </w:rPr>
            </w:pPr>
            <w:r>
              <w:rPr>
                <w:rFonts w:hint="eastAsia" w:asciiTheme="minorEastAsia" w:hAnsiTheme="minorEastAsia"/>
                <w:color w:val="000000"/>
                <w:sz w:val="22"/>
                <w:szCs w:val="21"/>
              </w:rPr>
              <w:t>0.80</w:t>
            </w:r>
          </w:p>
        </w:tc>
        <w:tc>
          <w:tcPr>
            <w:tcW w:w="1540"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159.63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57" w:type="dxa"/>
            <w:shd w:val="clear" w:color="000000" w:fill="FFFFFF"/>
            <w:vAlign w:val="center"/>
          </w:tcPr>
          <w:p>
            <w:pPr>
              <w:jc w:val="center"/>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3</w:t>
            </w:r>
          </w:p>
        </w:tc>
        <w:tc>
          <w:tcPr>
            <w:tcW w:w="2566" w:type="dxa"/>
            <w:shd w:val="clear" w:color="000000" w:fill="FFFFFF"/>
            <w:vAlign w:val="center"/>
          </w:tcPr>
          <w:p>
            <w:pPr>
              <w:jc w:val="center"/>
              <w:rPr>
                <w:rFonts w:hint="eastAsia" w:ascii="仿宋_GB2312" w:eastAsia="仿宋_GB2312"/>
                <w:color w:val="000000"/>
                <w:szCs w:val="21"/>
              </w:rPr>
            </w:pPr>
            <w:r>
              <w:rPr>
                <w:rFonts w:hint="eastAsia" w:ascii="仿宋_GB2312" w:eastAsia="仿宋_GB2312"/>
                <w:color w:val="000000"/>
                <w:szCs w:val="21"/>
              </w:rPr>
              <w:t>减门道共用各担50%</w:t>
            </w:r>
          </w:p>
        </w:tc>
        <w:tc>
          <w:tcPr>
            <w:tcW w:w="850" w:type="dxa"/>
            <w:shd w:val="clear" w:color="000000" w:fill="FFFFFF"/>
            <w:vAlign w:val="center"/>
          </w:tcPr>
          <w:p>
            <w:pPr>
              <w:jc w:val="center"/>
              <w:rPr>
                <w:rFonts w:hint="default" w:asciiTheme="minorEastAsia" w:hAnsiTheme="minorEastAsia" w:eastAsiaTheme="minorEastAsia"/>
                <w:color w:val="000000"/>
                <w:sz w:val="22"/>
                <w:szCs w:val="21"/>
                <w:lang w:val="en-US" w:eastAsia="zh-CN"/>
              </w:rPr>
            </w:pPr>
            <w:r>
              <w:rPr>
                <w:rFonts w:hint="eastAsia" w:asciiTheme="minorEastAsia" w:hAnsiTheme="minorEastAsia"/>
                <w:color w:val="000000"/>
                <w:sz w:val="22"/>
                <w:szCs w:val="21"/>
                <w:lang w:val="en-US" w:eastAsia="zh-CN"/>
              </w:rPr>
              <w:t>1.85</w:t>
            </w:r>
          </w:p>
        </w:tc>
        <w:tc>
          <w:tcPr>
            <w:tcW w:w="993" w:type="dxa"/>
            <w:shd w:val="clear" w:color="000000" w:fill="FFFFFF"/>
            <w:vAlign w:val="center"/>
          </w:tcPr>
          <w:p>
            <w:pPr>
              <w:jc w:val="center"/>
              <w:rPr>
                <w:rFonts w:hint="default" w:asciiTheme="minorEastAsia" w:hAnsiTheme="minorEastAsia" w:eastAsiaTheme="minorEastAsia"/>
                <w:color w:val="000000"/>
                <w:sz w:val="22"/>
                <w:szCs w:val="21"/>
                <w:lang w:val="en-US" w:eastAsia="zh-CN"/>
              </w:rPr>
            </w:pPr>
            <w:r>
              <w:rPr>
                <w:rFonts w:hint="eastAsia" w:asciiTheme="minorEastAsia" w:hAnsiTheme="minorEastAsia"/>
                <w:color w:val="000000"/>
                <w:sz w:val="22"/>
                <w:szCs w:val="21"/>
                <w:lang w:val="en-US" w:eastAsia="zh-CN"/>
              </w:rPr>
              <w:t>-1.95</w:t>
            </w:r>
          </w:p>
        </w:tc>
        <w:tc>
          <w:tcPr>
            <w:tcW w:w="708" w:type="dxa"/>
            <w:shd w:val="clear" w:color="000000" w:fill="FFFFFF"/>
            <w:vAlign w:val="center"/>
          </w:tcPr>
          <w:p>
            <w:pPr>
              <w:jc w:val="center"/>
              <w:rPr>
                <w:rFonts w:hint="default" w:ascii="仿宋_GB2312" w:eastAsia="仿宋_GB2312"/>
                <w:color w:val="000000"/>
                <w:szCs w:val="21"/>
                <w:lang w:val="en-US" w:eastAsia="zh-CN"/>
              </w:rPr>
            </w:pPr>
            <w:r>
              <w:rPr>
                <w:rFonts w:hint="eastAsia" w:ascii="仿宋_GB2312" w:eastAsia="仿宋_GB2312"/>
                <w:color w:val="000000"/>
                <w:szCs w:val="21"/>
                <w:lang w:val="en-US" w:eastAsia="zh-CN"/>
              </w:rPr>
              <w:t>m</w:t>
            </w:r>
          </w:p>
        </w:tc>
        <w:tc>
          <w:tcPr>
            <w:tcW w:w="1194" w:type="dxa"/>
            <w:shd w:val="clear" w:color="000000" w:fill="FFFFFF"/>
            <w:vAlign w:val="center"/>
          </w:tcPr>
          <w:p>
            <w:pPr>
              <w:jc w:val="center"/>
              <w:rPr>
                <w:rFonts w:hint="default" w:asciiTheme="minorEastAsia" w:hAnsiTheme="minorEastAsia" w:eastAsiaTheme="minorEastAsia"/>
                <w:color w:val="000000"/>
                <w:sz w:val="22"/>
                <w:szCs w:val="21"/>
                <w:lang w:val="en-US" w:eastAsia="zh-CN"/>
              </w:rPr>
            </w:pPr>
            <w:r>
              <w:rPr>
                <w:rFonts w:hint="eastAsia" w:asciiTheme="minorEastAsia" w:hAnsiTheme="minorEastAsia"/>
                <w:color w:val="000000"/>
                <w:sz w:val="22"/>
                <w:szCs w:val="21"/>
                <w:lang w:val="en-US" w:eastAsia="zh-CN"/>
              </w:rPr>
              <w:t>-3.6075</w:t>
            </w:r>
          </w:p>
        </w:tc>
        <w:tc>
          <w:tcPr>
            <w:tcW w:w="1140" w:type="dxa"/>
            <w:shd w:val="clear" w:color="000000" w:fill="FFFFFF"/>
            <w:vAlign w:val="center"/>
          </w:tcPr>
          <w:p>
            <w:pPr>
              <w:jc w:val="center"/>
              <w:rPr>
                <w:rFonts w:hint="default" w:asciiTheme="minorEastAsia" w:hAnsiTheme="minorEastAsia" w:eastAsiaTheme="minorEastAsia"/>
                <w:color w:val="000000"/>
                <w:sz w:val="22"/>
                <w:szCs w:val="21"/>
                <w:lang w:val="en-US" w:eastAsia="zh-CN"/>
              </w:rPr>
            </w:pPr>
            <w:r>
              <w:rPr>
                <w:rFonts w:hint="eastAsia" w:asciiTheme="minorEastAsia" w:hAnsiTheme="minorEastAsia"/>
                <w:color w:val="000000"/>
                <w:sz w:val="22"/>
                <w:szCs w:val="21"/>
                <w:lang w:val="en-US" w:eastAsia="zh-CN"/>
              </w:rPr>
              <w:t>0.8</w:t>
            </w:r>
          </w:p>
        </w:tc>
        <w:tc>
          <w:tcPr>
            <w:tcW w:w="1540" w:type="dxa"/>
            <w:shd w:val="clear" w:color="000000" w:fill="FFFFFF"/>
            <w:vAlign w:val="center"/>
          </w:tcPr>
          <w:p>
            <w:pPr>
              <w:jc w:val="center"/>
              <w:rPr>
                <w:rFonts w:hint="default" w:asciiTheme="minorEastAsia" w:hAnsiTheme="minorEastAsia" w:eastAsiaTheme="minorEastAsia"/>
                <w:color w:val="000000"/>
                <w:sz w:val="22"/>
                <w:szCs w:val="21"/>
                <w:lang w:val="en-US" w:eastAsia="zh-CN"/>
              </w:rPr>
            </w:pPr>
            <w:r>
              <w:rPr>
                <w:rFonts w:hint="eastAsia" w:asciiTheme="minorEastAsia" w:hAnsiTheme="minorEastAsia"/>
                <w:color w:val="000000"/>
                <w:sz w:val="22"/>
                <w:szCs w:val="21"/>
                <w:lang w:val="en-US" w:eastAsia="zh-CN"/>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7" w:type="dxa"/>
            <w:shd w:val="clear" w:color="000000" w:fill="FFFFFF"/>
            <w:vAlign w:val="center"/>
          </w:tcPr>
          <w:p>
            <w:pPr>
              <w:jc w:val="center"/>
              <w:rPr>
                <w:rFonts w:hint="eastAsia" w:ascii="仿宋_GB2312" w:hAnsi="宋体" w:eastAsia="仿宋_GB2312" w:cs="宋体"/>
                <w:color w:val="000000"/>
                <w:szCs w:val="21"/>
                <w:lang w:eastAsia="zh-CN"/>
              </w:rPr>
            </w:pPr>
            <w:r>
              <w:rPr>
                <w:rFonts w:hint="eastAsia" w:ascii="仿宋_GB2312" w:eastAsia="仿宋_GB2312"/>
                <w:color w:val="000000"/>
                <w:szCs w:val="21"/>
                <w:lang w:val="en-US" w:eastAsia="zh-CN"/>
              </w:rPr>
              <w:t>4</w:t>
            </w:r>
          </w:p>
        </w:tc>
        <w:tc>
          <w:tcPr>
            <w:tcW w:w="2566"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车间南侧二楼办公室</w:t>
            </w:r>
          </w:p>
        </w:tc>
        <w:tc>
          <w:tcPr>
            <w:tcW w:w="850"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23.15</w:t>
            </w:r>
          </w:p>
        </w:tc>
        <w:tc>
          <w:tcPr>
            <w:tcW w:w="993"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11</w:t>
            </w:r>
          </w:p>
        </w:tc>
        <w:tc>
          <w:tcPr>
            <w:tcW w:w="708" w:type="dxa"/>
            <w:shd w:val="clear" w:color="000000" w:fill="FFFFFF"/>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m</w:t>
            </w:r>
            <w:r>
              <w:rPr>
                <w:rFonts w:hint="eastAsia" w:ascii="仿宋_GB2312" w:eastAsia="仿宋_GB2312"/>
                <w:color w:val="000000"/>
                <w:szCs w:val="21"/>
                <w:vertAlign w:val="superscript"/>
              </w:rPr>
              <w:t>2</w:t>
            </w:r>
          </w:p>
        </w:tc>
        <w:tc>
          <w:tcPr>
            <w:tcW w:w="1194"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254.65</w:t>
            </w:r>
          </w:p>
        </w:tc>
        <w:tc>
          <w:tcPr>
            <w:tcW w:w="1140"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0.80</w:t>
            </w:r>
          </w:p>
        </w:tc>
        <w:tc>
          <w:tcPr>
            <w:tcW w:w="1540" w:type="dxa"/>
            <w:shd w:val="clear" w:color="000000" w:fill="FFFFFF"/>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203.72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57" w:type="dxa"/>
            <w:shd w:val="clear" w:color="000000" w:fill="FFFFFF"/>
            <w:noWrap/>
            <w:vAlign w:val="center"/>
          </w:tcPr>
          <w:p>
            <w:pPr>
              <w:jc w:val="center"/>
              <w:rPr>
                <w:rFonts w:hint="eastAsia" w:ascii="仿宋_GB2312" w:hAnsi="宋体" w:eastAsia="仿宋_GB2312" w:cs="宋体"/>
                <w:color w:val="000000"/>
                <w:szCs w:val="21"/>
                <w:lang w:eastAsia="zh-CN"/>
              </w:rPr>
            </w:pPr>
            <w:r>
              <w:rPr>
                <w:rFonts w:hint="eastAsia" w:ascii="仿宋_GB2312" w:eastAsia="仿宋_GB2312"/>
                <w:color w:val="000000"/>
                <w:szCs w:val="21"/>
                <w:lang w:val="en-US" w:eastAsia="zh-CN"/>
              </w:rPr>
              <w:t>5</w:t>
            </w:r>
          </w:p>
        </w:tc>
        <w:tc>
          <w:tcPr>
            <w:tcW w:w="2566" w:type="dxa"/>
            <w:shd w:val="clear" w:color="000000" w:fill="FFFFFF"/>
            <w:noWrap/>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保安费月收费</w:t>
            </w:r>
          </w:p>
        </w:tc>
        <w:tc>
          <w:tcPr>
            <w:tcW w:w="850" w:type="dxa"/>
            <w:shd w:val="clear" w:color="000000" w:fill="FFFFFF"/>
            <w:noWrap/>
            <w:vAlign w:val="center"/>
          </w:tcPr>
          <w:p>
            <w:pPr>
              <w:jc w:val="center"/>
              <w:rPr>
                <w:rFonts w:cs="宋体" w:asciiTheme="minorEastAsia" w:hAnsiTheme="minorEastAsia"/>
                <w:color w:val="000000"/>
                <w:sz w:val="22"/>
                <w:szCs w:val="21"/>
              </w:rPr>
            </w:pPr>
          </w:p>
        </w:tc>
        <w:tc>
          <w:tcPr>
            <w:tcW w:w="993" w:type="dxa"/>
            <w:shd w:val="clear" w:color="000000" w:fill="FFFFFF"/>
            <w:noWrap/>
            <w:vAlign w:val="center"/>
          </w:tcPr>
          <w:p>
            <w:pPr>
              <w:jc w:val="center"/>
              <w:rPr>
                <w:rFonts w:cs="宋体" w:asciiTheme="minorEastAsia" w:hAnsiTheme="minorEastAsia"/>
                <w:color w:val="000000"/>
                <w:sz w:val="22"/>
                <w:szCs w:val="21"/>
              </w:rPr>
            </w:pPr>
          </w:p>
        </w:tc>
        <w:tc>
          <w:tcPr>
            <w:tcW w:w="708" w:type="dxa"/>
            <w:shd w:val="clear" w:color="000000" w:fill="FFFFFF"/>
            <w:noWrap/>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人</w:t>
            </w:r>
          </w:p>
        </w:tc>
        <w:tc>
          <w:tcPr>
            <w:tcW w:w="1194" w:type="dxa"/>
            <w:shd w:val="clear" w:color="000000" w:fill="FFFFFF"/>
            <w:noWrap/>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1</w:t>
            </w:r>
          </w:p>
        </w:tc>
        <w:tc>
          <w:tcPr>
            <w:tcW w:w="1140" w:type="dxa"/>
            <w:shd w:val="clear" w:color="000000" w:fill="FFFFFF"/>
            <w:noWrap/>
            <w:vAlign w:val="center"/>
          </w:tcPr>
          <w:p>
            <w:pPr>
              <w:jc w:val="center"/>
              <w:rPr>
                <w:rFonts w:cs="宋体" w:asciiTheme="minorEastAsia" w:hAnsiTheme="minorEastAsia"/>
                <w:color w:val="000000"/>
                <w:sz w:val="22"/>
                <w:szCs w:val="21"/>
              </w:rPr>
            </w:pPr>
          </w:p>
        </w:tc>
        <w:tc>
          <w:tcPr>
            <w:tcW w:w="1540" w:type="dxa"/>
            <w:shd w:val="clear" w:color="000000" w:fill="FFFFFF"/>
            <w:noWrap/>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4000元/月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57" w:type="dxa"/>
            <w:shd w:val="clear" w:color="000000" w:fill="FFFFFF"/>
            <w:noWrap/>
            <w:vAlign w:val="center"/>
          </w:tcPr>
          <w:p>
            <w:pPr>
              <w:jc w:val="center"/>
              <w:rPr>
                <w:rFonts w:hint="eastAsia" w:ascii="仿宋_GB2312" w:hAnsi="宋体" w:eastAsia="仿宋_GB2312" w:cs="宋体"/>
                <w:color w:val="000000"/>
                <w:szCs w:val="21"/>
                <w:lang w:eastAsia="zh-CN"/>
              </w:rPr>
            </w:pPr>
            <w:r>
              <w:rPr>
                <w:rFonts w:hint="eastAsia" w:ascii="仿宋_GB2312" w:eastAsia="仿宋_GB2312"/>
                <w:color w:val="000000"/>
                <w:szCs w:val="21"/>
                <w:lang w:val="en-US" w:eastAsia="zh-CN"/>
              </w:rPr>
              <w:t>6</w:t>
            </w:r>
          </w:p>
        </w:tc>
        <w:tc>
          <w:tcPr>
            <w:tcW w:w="2566" w:type="dxa"/>
            <w:shd w:val="clear" w:color="000000" w:fill="FFFFFF"/>
            <w:noWrap/>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宿舍2间月收费</w:t>
            </w:r>
          </w:p>
        </w:tc>
        <w:tc>
          <w:tcPr>
            <w:tcW w:w="1843" w:type="dxa"/>
            <w:gridSpan w:val="2"/>
            <w:shd w:val="clear" w:color="000000" w:fill="FFFFFF"/>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503、505</w:t>
            </w:r>
          </w:p>
        </w:tc>
        <w:tc>
          <w:tcPr>
            <w:tcW w:w="708" w:type="dxa"/>
            <w:shd w:val="clear" w:color="000000" w:fill="FFFFFF"/>
            <w:noWrap/>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间</w:t>
            </w:r>
          </w:p>
        </w:tc>
        <w:tc>
          <w:tcPr>
            <w:tcW w:w="1194" w:type="dxa"/>
            <w:shd w:val="clear" w:color="000000" w:fill="FFFFFF"/>
            <w:noWrap/>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2</w:t>
            </w:r>
          </w:p>
        </w:tc>
        <w:tc>
          <w:tcPr>
            <w:tcW w:w="1140" w:type="dxa"/>
            <w:shd w:val="clear" w:color="000000" w:fill="FFFFFF"/>
            <w:noWrap/>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650元/间/月</w:t>
            </w:r>
          </w:p>
        </w:tc>
        <w:tc>
          <w:tcPr>
            <w:tcW w:w="1540" w:type="dxa"/>
            <w:shd w:val="clear" w:color="000000" w:fill="FFFFFF"/>
            <w:noWrap/>
            <w:vAlign w:val="center"/>
          </w:tcPr>
          <w:p>
            <w:pPr>
              <w:jc w:val="center"/>
              <w:rPr>
                <w:rFonts w:cs="宋体" w:asciiTheme="minorEastAsia" w:hAnsiTheme="minorEastAsia"/>
                <w:color w:val="000000"/>
                <w:sz w:val="22"/>
                <w:szCs w:val="21"/>
              </w:rPr>
            </w:pPr>
            <w:r>
              <w:rPr>
                <w:rFonts w:hint="eastAsia" w:asciiTheme="minorEastAsia" w:hAnsiTheme="minorEastAsia"/>
                <w:color w:val="000000"/>
                <w:sz w:val="22"/>
                <w:szCs w:val="21"/>
              </w:rPr>
              <w:t>1300元/月</w:t>
            </w:r>
          </w:p>
        </w:tc>
      </w:tr>
    </w:tbl>
    <w:p>
      <w:pPr>
        <w:rPr>
          <w:rFonts w:ascii="仿宋_GB2312" w:eastAsia="仿宋_GB2312"/>
          <w:b/>
          <w:color w:val="FF0000"/>
          <w:sz w:val="28"/>
          <w:szCs w:val="28"/>
        </w:rPr>
      </w:pPr>
      <w:r>
        <w:rPr>
          <w:rFonts w:hint="eastAsia" w:ascii="仿宋_GB2312" w:eastAsia="仿宋_GB2312"/>
          <w:b/>
          <w:color w:val="FF0000"/>
          <w:sz w:val="28"/>
          <w:szCs w:val="28"/>
        </w:rPr>
        <w:t>遇租赁物发生变化，双方另外签订补充协议。</w:t>
      </w:r>
    </w:p>
    <w:p>
      <w:pPr>
        <w:pStyle w:val="7"/>
        <w:numPr>
          <w:ilvl w:val="0"/>
          <w:numId w:val="1"/>
        </w:numPr>
        <w:ind w:firstLineChars="0"/>
        <w:rPr>
          <w:rFonts w:ascii="仿宋_GB2312" w:eastAsia="仿宋_GB2312"/>
          <w:sz w:val="28"/>
          <w:szCs w:val="28"/>
        </w:rPr>
      </w:pPr>
      <w:r>
        <w:rPr>
          <w:rFonts w:hint="eastAsia" w:ascii="仿宋_GB2312" w:eastAsia="仿宋_GB2312"/>
          <w:sz w:val="28"/>
          <w:szCs w:val="28"/>
        </w:rPr>
        <w:t>甲方提供生产、办公、生活用电、用水。单独装表计量，按实际用量及实际单价付费（含电路、水路维护保养费用），抄表工</w:t>
      </w:r>
      <w:bookmarkStart w:id="0" w:name="_GoBack"/>
      <w:bookmarkEnd w:id="0"/>
      <w:r>
        <w:rPr>
          <w:rFonts w:hint="eastAsia" w:ascii="仿宋_GB2312" w:eastAsia="仿宋_GB2312"/>
          <w:sz w:val="28"/>
          <w:szCs w:val="28"/>
        </w:rPr>
        <w:t>作由双方共同派员完成，核算工作由财务完成；</w:t>
      </w:r>
    </w:p>
    <w:p>
      <w:pPr>
        <w:pStyle w:val="7"/>
        <w:numPr>
          <w:ilvl w:val="0"/>
          <w:numId w:val="1"/>
        </w:numPr>
        <w:ind w:firstLineChars="0"/>
        <w:rPr>
          <w:rFonts w:ascii="仿宋_GB2312" w:eastAsia="仿宋_GB2312"/>
          <w:sz w:val="28"/>
          <w:szCs w:val="28"/>
          <w:highlight w:val="none"/>
        </w:rPr>
      </w:pPr>
      <w:r>
        <w:rPr>
          <w:rFonts w:hint="eastAsia" w:ascii="仿宋_GB2312" w:eastAsia="仿宋_GB2312"/>
          <w:sz w:val="28"/>
          <w:szCs w:val="28"/>
        </w:rPr>
        <w:t>甲方将天车、</w:t>
      </w:r>
      <w:r>
        <w:rPr>
          <w:rFonts w:hint="eastAsia" w:ascii="仿宋_GB2312" w:eastAsia="仿宋_GB2312"/>
          <w:sz w:val="28"/>
          <w:szCs w:val="28"/>
          <w:highlight w:val="none"/>
        </w:rPr>
        <w:t>喷涂电梯交由乙方使用，天车、电梯的年检申报工作由甲方负责，天车、电梯的维修、保养、年检等发生的所有费用及持证人员年检事项、费用由乙方承担；</w:t>
      </w:r>
    </w:p>
    <w:p>
      <w:pPr>
        <w:pStyle w:val="7"/>
        <w:numPr>
          <w:ilvl w:val="0"/>
          <w:numId w:val="1"/>
        </w:numPr>
        <w:ind w:firstLineChars="0"/>
        <w:rPr>
          <w:rFonts w:ascii="仿宋_GB2312" w:eastAsia="仿宋_GB2312"/>
          <w:sz w:val="28"/>
          <w:szCs w:val="28"/>
        </w:rPr>
      </w:pPr>
      <w:r>
        <w:rPr>
          <w:rFonts w:hint="eastAsia" w:ascii="仿宋_GB2312" w:eastAsia="仿宋_GB2312"/>
          <w:sz w:val="28"/>
          <w:szCs w:val="28"/>
          <w:highlight w:val="none"/>
        </w:rPr>
        <w:t>取暖收费方法：按实</w:t>
      </w:r>
      <w:r>
        <w:rPr>
          <w:rFonts w:hint="eastAsia" w:ascii="仿宋_GB2312" w:eastAsia="仿宋_GB2312"/>
          <w:sz w:val="28"/>
          <w:szCs w:val="28"/>
        </w:rPr>
        <w:t>际使用面积X甲方取暖的平均单价；</w:t>
      </w:r>
    </w:p>
    <w:p>
      <w:pPr>
        <w:pStyle w:val="7"/>
        <w:numPr>
          <w:ilvl w:val="0"/>
          <w:numId w:val="1"/>
        </w:numPr>
        <w:ind w:firstLineChars="0"/>
        <w:rPr>
          <w:rFonts w:ascii="仿宋_GB2312" w:eastAsia="仿宋_GB2312"/>
          <w:sz w:val="28"/>
          <w:szCs w:val="28"/>
        </w:rPr>
      </w:pPr>
      <w:r>
        <w:rPr>
          <w:rFonts w:hint="eastAsia" w:ascii="仿宋_GB2312" w:eastAsia="仿宋_GB2312"/>
          <w:sz w:val="28"/>
          <w:szCs w:val="28"/>
        </w:rPr>
        <w:t>合同自2020年1月1日至2021年12月31日（两年）；</w:t>
      </w:r>
    </w:p>
    <w:p>
      <w:pPr>
        <w:widowControl/>
        <w:rPr>
          <w:rFonts w:ascii="仿宋_GB2312" w:hAnsi="宋体" w:eastAsia="仿宋_GB2312" w:cs="宋体"/>
          <w:b/>
          <w:bCs/>
          <w:color w:val="FF0000"/>
          <w:kern w:val="0"/>
          <w:sz w:val="28"/>
          <w:szCs w:val="28"/>
        </w:rPr>
      </w:pPr>
      <w:r>
        <w:rPr>
          <w:rFonts w:hint="eastAsia" w:ascii="仿宋_GB2312" w:eastAsia="仿宋_GB2312"/>
          <w:sz w:val="28"/>
          <w:szCs w:val="28"/>
        </w:rPr>
        <w:t>甲方将上述厂房及办公用房等租赁物租给乙方，租金为上交款，交押1个月付3个月款，时间在2020年1月5日前，以后每次提前5天交付，每次交三个月租费。甲方在收到租金5个工作日起出具等额的发票。</w:t>
      </w:r>
    </w:p>
    <w:p>
      <w:pPr>
        <w:rPr>
          <w:rFonts w:ascii="仿宋_GB2312" w:eastAsia="仿宋_GB2312"/>
          <w:b/>
          <w:sz w:val="32"/>
          <w:szCs w:val="28"/>
        </w:rPr>
      </w:pPr>
      <w:r>
        <w:rPr>
          <w:rFonts w:hint="eastAsia" w:ascii="仿宋_GB2312" w:eastAsia="仿宋_GB2312"/>
          <w:b/>
          <w:sz w:val="32"/>
          <w:szCs w:val="28"/>
        </w:rPr>
        <w:t>二、甲方的责任</w:t>
      </w:r>
    </w:p>
    <w:p>
      <w:pPr>
        <w:ind w:left="420" w:hanging="420"/>
        <w:rPr>
          <w:rFonts w:ascii="仿宋_GB2312" w:hAnsi="Calibri" w:eastAsia="仿宋_GB2312" w:cs="Times New Roman"/>
          <w:sz w:val="28"/>
          <w:szCs w:val="28"/>
        </w:rPr>
      </w:pPr>
      <w:r>
        <w:rPr>
          <w:rFonts w:hint="eastAsia" w:ascii="仿宋_GB2312" w:hAnsi="Calibri" w:eastAsia="仿宋_GB2312" w:cs="Times New Roman"/>
          <w:sz w:val="28"/>
          <w:szCs w:val="28"/>
        </w:rPr>
        <w:t>1、甲方积极与乙方合作，为乙方的生产和工作提供良好的环境条件。</w:t>
      </w:r>
    </w:p>
    <w:p>
      <w:pPr>
        <w:ind w:left="420" w:hanging="420"/>
        <w:rPr>
          <w:rFonts w:ascii="仿宋_GB2312" w:hAnsi="Calibri" w:eastAsia="仿宋_GB2312" w:cs="Times New Roman"/>
          <w:sz w:val="28"/>
          <w:szCs w:val="28"/>
        </w:rPr>
      </w:pPr>
      <w:r>
        <w:rPr>
          <w:rFonts w:hint="eastAsia" w:ascii="仿宋_GB2312" w:hAnsi="Calibri" w:eastAsia="仿宋_GB2312" w:cs="Times New Roman"/>
          <w:sz w:val="28"/>
          <w:szCs w:val="28"/>
        </w:rPr>
        <w:t>2、甲方为乙方提供良好的后勤保障，保障水、电、暖气的供应，便于乙方的生产安排（特殊情况除外）。</w:t>
      </w:r>
    </w:p>
    <w:p>
      <w:pPr>
        <w:ind w:left="420" w:hanging="420"/>
        <w:rPr>
          <w:rFonts w:ascii="仿宋_GB2312" w:hAnsi="Calibri" w:eastAsia="仿宋_GB2312" w:cs="Times New Roman"/>
          <w:sz w:val="28"/>
          <w:szCs w:val="28"/>
        </w:rPr>
      </w:pPr>
      <w:r>
        <w:rPr>
          <w:rFonts w:hint="eastAsia" w:ascii="仿宋_GB2312" w:hAnsi="Calibri" w:eastAsia="仿宋_GB2312" w:cs="Times New Roman"/>
          <w:sz w:val="28"/>
          <w:szCs w:val="28"/>
        </w:rPr>
        <w:t>3、甲方对乙方提出的有关对生产不利的因素，积极协商解决，保障乙方的生产工作顺利进行。</w:t>
      </w:r>
    </w:p>
    <w:p>
      <w:pPr>
        <w:rPr>
          <w:rFonts w:ascii="仿宋_GB2312" w:eastAsia="仿宋_GB2312"/>
          <w:b/>
          <w:sz w:val="32"/>
          <w:szCs w:val="28"/>
        </w:rPr>
      </w:pPr>
      <w:r>
        <w:rPr>
          <w:rFonts w:hint="eastAsia" w:ascii="仿宋_GB2312" w:eastAsia="仿宋_GB2312"/>
          <w:b/>
          <w:sz w:val="32"/>
          <w:szCs w:val="28"/>
        </w:rPr>
        <w:t>三、乙方的责任</w:t>
      </w:r>
    </w:p>
    <w:p>
      <w:pPr>
        <w:ind w:left="420" w:hanging="420"/>
        <w:rPr>
          <w:rFonts w:ascii="仿宋_GB2312" w:hAnsi="Calibri" w:eastAsia="仿宋_GB2312" w:cs="Times New Roman"/>
          <w:sz w:val="28"/>
          <w:szCs w:val="28"/>
        </w:rPr>
      </w:pPr>
      <w:r>
        <w:rPr>
          <w:rFonts w:hint="eastAsia" w:ascii="仿宋_GB2312" w:hAnsi="Calibri" w:eastAsia="仿宋_GB2312" w:cs="Times New Roman"/>
          <w:sz w:val="28"/>
          <w:szCs w:val="28"/>
        </w:rPr>
        <w:t xml:space="preserve">  1、在租赁期间乙方应遵循国家及当地政府的法律法规经营。</w:t>
      </w:r>
    </w:p>
    <w:p>
      <w:pPr>
        <w:ind w:left="420" w:hanging="420"/>
        <w:rPr>
          <w:rFonts w:ascii="仿宋_GB2312" w:hAnsi="Calibri" w:eastAsia="仿宋_GB2312" w:cs="Times New Roman"/>
          <w:sz w:val="28"/>
          <w:szCs w:val="28"/>
        </w:rPr>
      </w:pPr>
      <w:r>
        <w:rPr>
          <w:rFonts w:hint="eastAsia" w:ascii="仿宋_GB2312" w:hAnsi="Calibri" w:eastAsia="仿宋_GB2312" w:cs="Times New Roman"/>
          <w:sz w:val="28"/>
          <w:szCs w:val="28"/>
        </w:rPr>
        <w:t xml:space="preserve">  2、乙方应切实加强租赁区的防火、防盗、治安等安全保卫工作。码放物品不得堵塞消防通道。</w:t>
      </w:r>
    </w:p>
    <w:p>
      <w:pPr>
        <w:ind w:left="420" w:hanging="420"/>
        <w:rPr>
          <w:rFonts w:ascii="仿宋_GB2312" w:hAnsi="Calibri" w:eastAsia="仿宋_GB2312" w:cs="Times New Roman"/>
          <w:sz w:val="28"/>
          <w:szCs w:val="28"/>
        </w:rPr>
      </w:pPr>
      <w:r>
        <w:rPr>
          <w:rFonts w:hint="eastAsia" w:ascii="仿宋_GB2312" w:hAnsi="Calibri" w:eastAsia="仿宋_GB2312" w:cs="Times New Roman"/>
          <w:sz w:val="28"/>
          <w:szCs w:val="28"/>
        </w:rPr>
        <w:t xml:space="preserve">  3、乙方如需更改房屋结构，须事先征得甲方同意，并不得堵塞消防通道。</w:t>
      </w:r>
    </w:p>
    <w:p>
      <w:pPr>
        <w:ind w:left="421" w:leftChars="134" w:hanging="140" w:hangingChars="50"/>
        <w:rPr>
          <w:rFonts w:ascii="仿宋_GB2312" w:hAnsi="Calibri" w:eastAsia="仿宋_GB2312" w:cs="Times New Roman"/>
          <w:sz w:val="28"/>
          <w:szCs w:val="28"/>
        </w:rPr>
      </w:pPr>
      <w:r>
        <w:rPr>
          <w:rFonts w:hint="eastAsia" w:ascii="仿宋_GB2312" w:hAnsi="Calibri" w:eastAsia="仿宋_GB2312" w:cs="Times New Roman"/>
          <w:sz w:val="28"/>
          <w:szCs w:val="28"/>
        </w:rPr>
        <w:t>4、租赁期间，乙方应加强消防及安全生产管理工作，乙方发生的所有安全问题均由乙方自己解决（由于使用甲方设备所产生的一切问题由乙方自行承担）。</w:t>
      </w:r>
    </w:p>
    <w:p>
      <w:pPr>
        <w:ind w:left="421" w:leftChars="134" w:hanging="140" w:hangingChars="50"/>
        <w:rPr>
          <w:rFonts w:ascii="仿宋_GB2312" w:hAnsi="Calibri" w:eastAsia="仿宋_GB2312" w:cs="Times New Roman"/>
          <w:sz w:val="28"/>
          <w:szCs w:val="28"/>
        </w:rPr>
      </w:pPr>
      <w:r>
        <w:rPr>
          <w:rFonts w:hint="eastAsia" w:ascii="仿宋_GB2312" w:hAnsi="Calibri" w:eastAsia="仿宋_GB2312" w:cs="Times New Roman"/>
          <w:sz w:val="28"/>
          <w:szCs w:val="28"/>
        </w:rPr>
        <w:t>5、使用甲方设备时由于人为因素给甲方设备造成的损失由乙方照价赔偿。</w:t>
      </w:r>
    </w:p>
    <w:p>
      <w:pPr>
        <w:rPr>
          <w:rFonts w:ascii="仿宋_GB2312" w:eastAsia="仿宋_GB2312"/>
          <w:b/>
          <w:sz w:val="32"/>
          <w:szCs w:val="28"/>
        </w:rPr>
      </w:pPr>
      <w:r>
        <w:rPr>
          <w:rFonts w:hint="eastAsia" w:ascii="仿宋_GB2312" w:eastAsia="仿宋_GB2312"/>
          <w:b/>
          <w:sz w:val="32"/>
          <w:szCs w:val="28"/>
        </w:rPr>
        <w:t>四、协议的终止与续约</w:t>
      </w:r>
    </w:p>
    <w:p>
      <w:pPr>
        <w:ind w:left="420" w:hanging="420"/>
        <w:rPr>
          <w:rFonts w:ascii="仿宋_GB2312" w:hAnsi="Calibri" w:eastAsia="仿宋_GB2312" w:cs="Times New Roman"/>
          <w:sz w:val="28"/>
          <w:szCs w:val="28"/>
        </w:rPr>
      </w:pPr>
      <w:r>
        <w:rPr>
          <w:rFonts w:hint="eastAsia" w:ascii="仿宋_GB2312" w:hAnsi="Calibri" w:eastAsia="仿宋_GB2312" w:cs="Times New Roman"/>
          <w:sz w:val="28"/>
          <w:szCs w:val="28"/>
        </w:rPr>
        <w:t>1、本协议期限届满，协议既终止。</w:t>
      </w:r>
    </w:p>
    <w:p>
      <w:pPr>
        <w:ind w:left="420" w:hanging="420"/>
        <w:rPr>
          <w:rFonts w:ascii="仿宋_GB2312" w:hAnsi="Calibri" w:eastAsia="仿宋_GB2312" w:cs="Times New Roman"/>
          <w:sz w:val="28"/>
          <w:szCs w:val="28"/>
        </w:rPr>
      </w:pPr>
      <w:r>
        <w:rPr>
          <w:rFonts w:hint="eastAsia" w:ascii="仿宋_GB2312" w:hAnsi="Calibri" w:eastAsia="仿宋_GB2312" w:cs="Times New Roman"/>
          <w:sz w:val="28"/>
          <w:szCs w:val="28"/>
        </w:rPr>
        <w:t>2、乙方应提前一个月书面告知甲方是否有继续租赁的要求，便于甲方的工作安排。</w:t>
      </w:r>
    </w:p>
    <w:p>
      <w:pPr>
        <w:ind w:left="420" w:hanging="420"/>
        <w:rPr>
          <w:rFonts w:ascii="仿宋_GB2312" w:hAnsi="Calibri" w:eastAsia="仿宋_GB2312" w:cs="Times New Roman"/>
          <w:sz w:val="28"/>
          <w:szCs w:val="28"/>
        </w:rPr>
      </w:pPr>
      <w:r>
        <w:rPr>
          <w:rFonts w:hint="eastAsia" w:ascii="仿宋_GB2312" w:hAnsi="Calibri" w:eastAsia="仿宋_GB2312" w:cs="Times New Roman"/>
          <w:sz w:val="28"/>
          <w:szCs w:val="28"/>
        </w:rPr>
        <w:t>3、乙方工作需要，继续租赁，甲方同意，可续签租赁协议。</w:t>
      </w:r>
    </w:p>
    <w:p>
      <w:pPr>
        <w:rPr>
          <w:rFonts w:ascii="仿宋_GB2312" w:eastAsia="仿宋_GB2312"/>
          <w:b/>
          <w:sz w:val="32"/>
          <w:szCs w:val="28"/>
        </w:rPr>
      </w:pPr>
      <w:r>
        <w:rPr>
          <w:rFonts w:hint="eastAsia" w:ascii="仿宋_GB2312" w:eastAsia="仿宋_GB2312"/>
          <w:b/>
          <w:sz w:val="32"/>
          <w:szCs w:val="28"/>
        </w:rPr>
        <w:t>五、违约责任</w:t>
      </w:r>
    </w:p>
    <w:p>
      <w:pPr>
        <w:ind w:left="420" w:leftChars="200"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租赁期间，双方须信守协议，任何一方违反本协议规定的，都应向对方出具违约情况书面通知，并在7日内支付年度租金5%的违约金。</w:t>
      </w:r>
    </w:p>
    <w:p>
      <w:pPr>
        <w:rPr>
          <w:rFonts w:ascii="仿宋_GB2312" w:eastAsia="仿宋_GB2312"/>
          <w:b/>
          <w:sz w:val="32"/>
          <w:szCs w:val="28"/>
        </w:rPr>
      </w:pPr>
      <w:r>
        <w:rPr>
          <w:rFonts w:hint="eastAsia" w:ascii="仿宋_GB2312" w:eastAsia="仿宋_GB2312"/>
          <w:b/>
          <w:sz w:val="32"/>
          <w:szCs w:val="28"/>
        </w:rPr>
        <w:t>六、免责条款及争议的解决方式</w:t>
      </w:r>
    </w:p>
    <w:p>
      <w:pPr>
        <w:ind w:left="420" w:hanging="420" w:hangingChars="150"/>
        <w:rPr>
          <w:rFonts w:ascii="仿宋_GB2312" w:hAnsi="Calibri" w:eastAsia="仿宋_GB2312" w:cs="Times New Roman"/>
          <w:sz w:val="28"/>
          <w:szCs w:val="28"/>
        </w:rPr>
      </w:pPr>
      <w:r>
        <w:rPr>
          <w:rFonts w:hint="eastAsia" w:ascii="仿宋_GB2312" w:hAnsi="Calibri" w:eastAsia="仿宋_GB2312" w:cs="Times New Roman"/>
          <w:sz w:val="28"/>
          <w:szCs w:val="28"/>
        </w:rPr>
        <w:t>1、因不可抗拒力导致甲、乙双方或一方不能履行本协议项下有关义务时，甲、乙双方不承担违约责任。但应在不可抗拒力发生后将情况书面告知对方，在不可抗拒力消除后，双方应当继续履行协议。</w:t>
      </w:r>
    </w:p>
    <w:p>
      <w:pPr>
        <w:rPr>
          <w:rFonts w:ascii="仿宋_GB2312" w:hAnsi="Calibri" w:eastAsia="仿宋_GB2312" w:cs="Times New Roman"/>
          <w:sz w:val="28"/>
          <w:szCs w:val="28"/>
        </w:rPr>
      </w:pPr>
      <w:r>
        <w:rPr>
          <w:rFonts w:hint="eastAsia" w:ascii="仿宋_GB2312" w:hAnsi="Calibri" w:eastAsia="仿宋_GB2312" w:cs="Times New Roman"/>
          <w:sz w:val="28"/>
          <w:szCs w:val="28"/>
        </w:rPr>
        <w:t>2、本协议在履行中发生争议，由甲、乙双方协商解决。协商不成时，任何一方可将争议提交房屋所在地人民法院诉讼解决。</w:t>
      </w:r>
    </w:p>
    <w:p>
      <w:pPr>
        <w:rPr>
          <w:rFonts w:ascii="仿宋_GB2312" w:eastAsia="仿宋_GB2312"/>
          <w:b/>
          <w:sz w:val="32"/>
          <w:szCs w:val="28"/>
        </w:rPr>
      </w:pPr>
      <w:r>
        <w:rPr>
          <w:rFonts w:hint="eastAsia" w:ascii="仿宋_GB2312" w:eastAsia="仿宋_GB2312"/>
          <w:b/>
          <w:sz w:val="32"/>
          <w:szCs w:val="28"/>
        </w:rPr>
        <w:t>七、附则</w:t>
      </w:r>
    </w:p>
    <w:p>
      <w:pPr>
        <w:rPr>
          <w:rFonts w:ascii="仿宋_GB2312" w:hAnsi="Calibri" w:eastAsia="仿宋_GB2312" w:cs="Times New Roman"/>
          <w:sz w:val="28"/>
          <w:szCs w:val="28"/>
        </w:rPr>
      </w:pPr>
      <w:r>
        <w:rPr>
          <w:rFonts w:hint="eastAsia" w:ascii="仿宋_GB2312" w:hAnsi="Calibri" w:eastAsia="仿宋_GB2312" w:cs="Times New Roman"/>
          <w:sz w:val="28"/>
          <w:szCs w:val="28"/>
        </w:rPr>
        <w:t xml:space="preserve">  1、本协议未尽事宜，由甲、乙双方另行议定，并签订补充协议，补充协议与本协议具有同等法律效力；</w:t>
      </w:r>
    </w:p>
    <w:p>
      <w:pPr>
        <w:rPr>
          <w:rFonts w:ascii="仿宋_GB2312" w:hAnsi="Calibri" w:eastAsia="仿宋_GB2312" w:cs="Times New Roman"/>
          <w:sz w:val="28"/>
          <w:szCs w:val="28"/>
        </w:rPr>
      </w:pPr>
      <w:r>
        <w:rPr>
          <w:rFonts w:hint="eastAsia" w:ascii="仿宋_GB2312" w:hAnsi="Calibri" w:eastAsia="仿宋_GB2312" w:cs="Times New Roman"/>
          <w:sz w:val="28"/>
          <w:szCs w:val="28"/>
        </w:rPr>
        <w:t xml:space="preserve">  2、本协议及其附件和补充协议中未规定的事项，均遵照国家有关法律、法规和政策执行；</w:t>
      </w:r>
    </w:p>
    <w:p>
      <w:pPr>
        <w:rPr>
          <w:rFonts w:hint="eastAsia" w:ascii="仿宋_GB2312" w:hAnsi="Calibri" w:eastAsia="仿宋_GB2312" w:cs="Times New Roman"/>
          <w:sz w:val="28"/>
          <w:szCs w:val="28"/>
        </w:rPr>
      </w:pPr>
      <w:r>
        <w:rPr>
          <w:rFonts w:hint="eastAsia" w:ascii="仿宋_GB2312" w:hAnsi="Calibri" w:eastAsia="仿宋_GB2312" w:cs="Times New Roman"/>
          <w:sz w:val="28"/>
          <w:szCs w:val="28"/>
        </w:rPr>
        <w:t xml:space="preserve">  3、本协议一式肆份，甲、乙双方各执贰份。</w:t>
      </w:r>
    </w:p>
    <w:p>
      <w:pPr>
        <w:rPr>
          <w:rFonts w:ascii="仿宋_GB2312" w:hAnsi="Calibri" w:eastAsia="仿宋_GB2312" w:cs="Times New Roman"/>
          <w:sz w:val="28"/>
          <w:szCs w:val="28"/>
        </w:rPr>
      </w:pPr>
    </w:p>
    <w:p>
      <w:pPr>
        <w:rPr>
          <w:rFonts w:ascii="仿宋_GB2312" w:hAnsi="Calibri" w:eastAsia="仿宋_GB2312" w:cs="Times New Roman"/>
          <w:sz w:val="28"/>
          <w:szCs w:val="28"/>
        </w:rPr>
      </w:pPr>
      <w:r>
        <w:rPr>
          <w:rFonts w:hint="eastAsia" w:ascii="仿宋_GB2312" w:hAnsi="Calibri" w:eastAsia="仿宋_GB2312" w:cs="Times New Roman"/>
          <w:sz w:val="28"/>
          <w:szCs w:val="28"/>
        </w:rPr>
        <w:t xml:space="preserve">  甲方盖章：                               乙方盖章：</w:t>
      </w:r>
    </w:p>
    <w:p>
      <w:pPr>
        <w:rPr>
          <w:rFonts w:ascii="仿宋_GB2312" w:hAnsi="Calibri" w:eastAsia="仿宋_GB2312" w:cs="Times New Roman"/>
          <w:sz w:val="28"/>
          <w:szCs w:val="28"/>
        </w:rPr>
      </w:pPr>
      <w:r>
        <w:rPr>
          <w:rFonts w:hint="eastAsia" w:ascii="仿宋_GB2312" w:hAnsi="Calibri" w:eastAsia="仿宋_GB2312" w:cs="Times New Roman"/>
          <w:sz w:val="28"/>
          <w:szCs w:val="28"/>
        </w:rPr>
        <w:t xml:space="preserve">  </w:t>
      </w:r>
    </w:p>
    <w:p>
      <w:pPr>
        <w:ind w:firstLine="280" w:firstLineChars="100"/>
        <w:rPr>
          <w:rFonts w:ascii="仿宋_GB2312" w:hAnsi="Calibri" w:eastAsia="仿宋_GB2312" w:cs="Times New Roman"/>
          <w:sz w:val="28"/>
          <w:szCs w:val="28"/>
        </w:rPr>
      </w:pPr>
      <w:r>
        <w:rPr>
          <w:rFonts w:hint="eastAsia" w:ascii="仿宋_GB2312" w:hAnsi="Calibri" w:eastAsia="仿宋_GB2312" w:cs="Times New Roman"/>
          <w:sz w:val="28"/>
          <w:szCs w:val="28"/>
        </w:rPr>
        <w:t>负责人：                                 负责人：</w:t>
      </w:r>
    </w:p>
    <w:p>
      <w:pPr>
        <w:ind w:firstLine="420" w:firstLineChars="150"/>
        <w:rPr>
          <w:rFonts w:ascii="仿宋_GB2312" w:hAnsi="Calibri" w:eastAsia="仿宋_GB2312" w:cs="Times New Roman"/>
          <w:sz w:val="28"/>
          <w:szCs w:val="28"/>
        </w:rPr>
      </w:pPr>
      <w:r>
        <w:rPr>
          <w:rFonts w:hint="eastAsia" w:ascii="仿宋_GB2312" w:eastAsia="仿宋_GB2312"/>
          <w:sz w:val="28"/>
          <w:szCs w:val="28"/>
        </w:rPr>
        <w:t xml:space="preserve">   </w:t>
      </w:r>
      <w:r>
        <w:rPr>
          <w:rFonts w:hint="eastAsia" w:ascii="仿宋_GB2312" w:hAnsi="Calibri" w:eastAsia="仿宋_GB2312" w:cs="Times New Roman"/>
          <w:sz w:val="28"/>
          <w:szCs w:val="28"/>
        </w:rPr>
        <w:t>年</w:t>
      </w:r>
      <w:r>
        <w:rPr>
          <w:rFonts w:hint="eastAsia" w:ascii="仿宋_GB2312" w:eastAsia="仿宋_GB2312"/>
          <w:sz w:val="28"/>
          <w:szCs w:val="28"/>
        </w:rPr>
        <w:t xml:space="preserve">  </w:t>
      </w:r>
      <w:r>
        <w:rPr>
          <w:rFonts w:hint="eastAsia" w:ascii="仿宋_GB2312" w:hAnsi="Calibri" w:eastAsia="仿宋_GB2312" w:cs="Times New Roman"/>
          <w:sz w:val="28"/>
          <w:szCs w:val="28"/>
        </w:rPr>
        <w:t>月</w:t>
      </w:r>
      <w:r>
        <w:rPr>
          <w:rFonts w:hint="eastAsia" w:ascii="仿宋_GB2312" w:eastAsia="仿宋_GB2312"/>
          <w:sz w:val="28"/>
          <w:szCs w:val="28"/>
        </w:rPr>
        <w:t xml:space="preserve">  </w:t>
      </w:r>
      <w:r>
        <w:rPr>
          <w:rFonts w:hint="eastAsia" w:ascii="仿宋_GB2312" w:hAnsi="Calibri" w:eastAsia="仿宋_GB2312" w:cs="Times New Roman"/>
          <w:sz w:val="28"/>
          <w:szCs w:val="28"/>
        </w:rPr>
        <w:t>日</w:t>
      </w:r>
      <w:r>
        <w:rPr>
          <w:rFonts w:hint="eastAsia" w:ascii="仿宋_GB2312" w:eastAsia="仿宋_GB2312"/>
          <w:sz w:val="28"/>
          <w:szCs w:val="28"/>
        </w:rPr>
        <w:t xml:space="preserve">                               </w:t>
      </w:r>
      <w:r>
        <w:rPr>
          <w:rFonts w:hint="eastAsia" w:ascii="仿宋_GB2312" w:hAnsi="Calibri" w:eastAsia="仿宋_GB2312" w:cs="Times New Roman"/>
          <w:sz w:val="28"/>
          <w:szCs w:val="28"/>
        </w:rPr>
        <w:t>年</w:t>
      </w:r>
      <w:r>
        <w:rPr>
          <w:rFonts w:hint="eastAsia" w:ascii="仿宋_GB2312" w:eastAsia="仿宋_GB2312"/>
          <w:sz w:val="28"/>
          <w:szCs w:val="28"/>
        </w:rPr>
        <w:t xml:space="preserve">  </w:t>
      </w:r>
      <w:r>
        <w:rPr>
          <w:rFonts w:hint="eastAsia" w:ascii="仿宋_GB2312" w:hAnsi="Calibri" w:eastAsia="仿宋_GB2312" w:cs="Times New Roman"/>
          <w:sz w:val="28"/>
          <w:szCs w:val="28"/>
        </w:rPr>
        <w:t>月</w:t>
      </w:r>
      <w:r>
        <w:rPr>
          <w:rFonts w:hint="eastAsia" w:ascii="仿宋_GB2312" w:eastAsia="仿宋_GB2312"/>
          <w:sz w:val="28"/>
          <w:szCs w:val="28"/>
        </w:rPr>
        <w:t xml:space="preserve">  </w:t>
      </w:r>
      <w:r>
        <w:rPr>
          <w:rFonts w:hint="eastAsia" w:ascii="仿宋_GB2312" w:hAnsi="Calibri" w:eastAsia="仿宋_GB2312" w:cs="Times New Roman"/>
          <w:sz w:val="28"/>
          <w:szCs w:val="28"/>
        </w:rPr>
        <w:t>日</w:t>
      </w:r>
    </w:p>
    <w:p>
      <w:pPr>
        <w:ind w:firstLine="280" w:firstLineChars="100"/>
        <w:rPr>
          <w:rFonts w:ascii="仿宋_GB2312" w:hAnsi="Calibri" w:eastAsia="仿宋_GB2312" w:cs="Times New Roman"/>
          <w:sz w:val="28"/>
          <w:szCs w:val="28"/>
        </w:rPr>
      </w:pPr>
    </w:p>
    <w:p>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F311D"/>
    <w:multiLevelType w:val="multilevel"/>
    <w:tmpl w:val="2BEF311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49DF"/>
    <w:rsid w:val="0002509C"/>
    <w:rsid w:val="00045F2D"/>
    <w:rsid w:val="00063A3C"/>
    <w:rsid w:val="00070147"/>
    <w:rsid w:val="00081E9C"/>
    <w:rsid w:val="00084D7F"/>
    <w:rsid w:val="000F61C9"/>
    <w:rsid w:val="001011A7"/>
    <w:rsid w:val="00104B31"/>
    <w:rsid w:val="0012284D"/>
    <w:rsid w:val="00135487"/>
    <w:rsid w:val="001405A4"/>
    <w:rsid w:val="00153973"/>
    <w:rsid w:val="001554E5"/>
    <w:rsid w:val="001674B8"/>
    <w:rsid w:val="001768AA"/>
    <w:rsid w:val="001B0162"/>
    <w:rsid w:val="001D327E"/>
    <w:rsid w:val="002013D0"/>
    <w:rsid w:val="00223577"/>
    <w:rsid w:val="00270D72"/>
    <w:rsid w:val="0027540A"/>
    <w:rsid w:val="002A076C"/>
    <w:rsid w:val="002B3401"/>
    <w:rsid w:val="002B6B3E"/>
    <w:rsid w:val="002D0ABD"/>
    <w:rsid w:val="002D4473"/>
    <w:rsid w:val="002E00F5"/>
    <w:rsid w:val="002E51F9"/>
    <w:rsid w:val="00331713"/>
    <w:rsid w:val="00383F3A"/>
    <w:rsid w:val="003861E5"/>
    <w:rsid w:val="003C1702"/>
    <w:rsid w:val="003C36F5"/>
    <w:rsid w:val="003D64F2"/>
    <w:rsid w:val="003E7C03"/>
    <w:rsid w:val="003F13A3"/>
    <w:rsid w:val="003F223F"/>
    <w:rsid w:val="003F5108"/>
    <w:rsid w:val="00406534"/>
    <w:rsid w:val="004664D6"/>
    <w:rsid w:val="00471F70"/>
    <w:rsid w:val="004B6562"/>
    <w:rsid w:val="005052D9"/>
    <w:rsid w:val="00542BB9"/>
    <w:rsid w:val="00577DDC"/>
    <w:rsid w:val="005B0C47"/>
    <w:rsid w:val="005F03D8"/>
    <w:rsid w:val="005F045D"/>
    <w:rsid w:val="006453C2"/>
    <w:rsid w:val="00662247"/>
    <w:rsid w:val="006B7C82"/>
    <w:rsid w:val="006D07A8"/>
    <w:rsid w:val="006E2113"/>
    <w:rsid w:val="006E62C0"/>
    <w:rsid w:val="007353B9"/>
    <w:rsid w:val="00742726"/>
    <w:rsid w:val="00755780"/>
    <w:rsid w:val="00761950"/>
    <w:rsid w:val="007A08F2"/>
    <w:rsid w:val="007B42DF"/>
    <w:rsid w:val="007D63BB"/>
    <w:rsid w:val="008561AA"/>
    <w:rsid w:val="008737E7"/>
    <w:rsid w:val="008A73D0"/>
    <w:rsid w:val="008F13E5"/>
    <w:rsid w:val="00914D71"/>
    <w:rsid w:val="00954EA3"/>
    <w:rsid w:val="00992593"/>
    <w:rsid w:val="00997B08"/>
    <w:rsid w:val="009B5315"/>
    <w:rsid w:val="009B6061"/>
    <w:rsid w:val="009B64F4"/>
    <w:rsid w:val="009C0773"/>
    <w:rsid w:val="009E1118"/>
    <w:rsid w:val="009F4204"/>
    <w:rsid w:val="009F571A"/>
    <w:rsid w:val="00A11627"/>
    <w:rsid w:val="00A206E3"/>
    <w:rsid w:val="00A272FC"/>
    <w:rsid w:val="00A4160C"/>
    <w:rsid w:val="00A608C9"/>
    <w:rsid w:val="00A6284E"/>
    <w:rsid w:val="00A704CE"/>
    <w:rsid w:val="00A733C4"/>
    <w:rsid w:val="00AA39D4"/>
    <w:rsid w:val="00AD4F26"/>
    <w:rsid w:val="00AD6AB8"/>
    <w:rsid w:val="00AF7AF2"/>
    <w:rsid w:val="00B27635"/>
    <w:rsid w:val="00B406A3"/>
    <w:rsid w:val="00B420CF"/>
    <w:rsid w:val="00B845E3"/>
    <w:rsid w:val="00B92DE5"/>
    <w:rsid w:val="00B92E5F"/>
    <w:rsid w:val="00BB43CE"/>
    <w:rsid w:val="00C11B53"/>
    <w:rsid w:val="00C40A40"/>
    <w:rsid w:val="00C534C9"/>
    <w:rsid w:val="00C76C51"/>
    <w:rsid w:val="00C8055B"/>
    <w:rsid w:val="00CD63F8"/>
    <w:rsid w:val="00D1545C"/>
    <w:rsid w:val="00D65300"/>
    <w:rsid w:val="00D65A60"/>
    <w:rsid w:val="00D87D92"/>
    <w:rsid w:val="00DA3A02"/>
    <w:rsid w:val="00DD3875"/>
    <w:rsid w:val="00DD4BCA"/>
    <w:rsid w:val="00DF4DC7"/>
    <w:rsid w:val="00DF72FC"/>
    <w:rsid w:val="00DF790E"/>
    <w:rsid w:val="00E00E4C"/>
    <w:rsid w:val="00E41EEC"/>
    <w:rsid w:val="00E64019"/>
    <w:rsid w:val="00EC521D"/>
    <w:rsid w:val="00EE3A58"/>
    <w:rsid w:val="00EF461C"/>
    <w:rsid w:val="00F1056B"/>
    <w:rsid w:val="00F319C0"/>
    <w:rsid w:val="00F64060"/>
    <w:rsid w:val="00F76370"/>
    <w:rsid w:val="00F82CCC"/>
    <w:rsid w:val="00F949DF"/>
    <w:rsid w:val="00F9558F"/>
    <w:rsid w:val="00FF0930"/>
    <w:rsid w:val="00FF6F52"/>
    <w:rsid w:val="00FF7A9F"/>
    <w:rsid w:val="53981573"/>
    <w:rsid w:val="58F8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247</Words>
  <Characters>1414</Characters>
  <Lines>11</Lines>
  <Paragraphs>3</Paragraphs>
  <TotalTime>130</TotalTime>
  <ScaleCrop>false</ScaleCrop>
  <LinksUpToDate>false</LinksUpToDate>
  <CharactersWithSpaces>1658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2020-06-11T01:21:00Z</dcterms:created>
  <dc:creator>mixiufen</dc:creator>
  <cp:lastModifiedBy>FI 的智力名称</cp:lastModifiedBy>
  <cp:lastPrinted>2020-11-25T02:37:45Z</cp:lastPrinted>
  <dcterms:modified xsi:type="dcterms:W3CDTF">2020-11-25T02:45:25Z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