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160" w:firstLineChars="2200"/>
        <w:jc w:val="left"/>
        <w:rPr>
          <w:rFonts w:ascii="楷体" w:hAnsi="楷体" w:eastAsia="楷体"/>
          <w:color w:val="auto"/>
          <w:sz w:val="28"/>
          <w:szCs w:val="28"/>
        </w:rPr>
      </w:pPr>
      <w:r>
        <w:rPr>
          <w:rFonts w:ascii="楷体" w:hAnsi="楷体" w:eastAsia="楷体"/>
          <w:color w:val="auto"/>
          <w:sz w:val="28"/>
          <w:szCs w:val="28"/>
        </w:rPr>
        <w:t>编号HT20</w:t>
      </w:r>
      <w:r>
        <w:rPr>
          <w:rFonts w:hint="eastAsia" w:ascii="楷体" w:hAnsi="楷体" w:eastAsia="楷体"/>
          <w:color w:val="auto"/>
          <w:sz w:val="28"/>
          <w:szCs w:val="28"/>
        </w:rPr>
        <w:t>20</w:t>
      </w:r>
      <w:r>
        <w:rPr>
          <w:rFonts w:ascii="楷体" w:hAnsi="楷体" w:eastAsia="楷体"/>
          <w:color w:val="auto"/>
          <w:sz w:val="28"/>
          <w:szCs w:val="28"/>
        </w:rPr>
        <w:t>-</w:t>
      </w:r>
    </w:p>
    <w:p>
      <w:pPr>
        <w:ind w:firstLine="6160" w:firstLineChars="2200"/>
        <w:rPr>
          <w:rFonts w:ascii="楷体" w:hAnsi="楷体" w:eastAsia="楷体"/>
          <w:color w:val="auto"/>
          <w:sz w:val="28"/>
          <w:szCs w:val="28"/>
        </w:rPr>
      </w:pPr>
      <w:r>
        <w:rPr>
          <w:rFonts w:ascii="楷体" w:hAnsi="楷体" w:eastAsia="楷体"/>
          <w:color w:val="auto"/>
          <w:sz w:val="28"/>
          <w:szCs w:val="28"/>
        </w:rPr>
        <w:t>文号20</w:t>
      </w:r>
      <w:r>
        <w:rPr>
          <w:rFonts w:hint="eastAsia" w:ascii="楷体" w:hAnsi="楷体" w:eastAsia="楷体"/>
          <w:color w:val="auto"/>
          <w:sz w:val="28"/>
          <w:szCs w:val="28"/>
        </w:rPr>
        <w:t>20</w:t>
      </w:r>
      <w:r>
        <w:rPr>
          <w:rFonts w:ascii="楷体" w:hAnsi="楷体" w:eastAsia="楷体"/>
          <w:color w:val="auto"/>
          <w:sz w:val="28"/>
          <w:szCs w:val="28"/>
        </w:rPr>
        <w:t>-</w:t>
      </w:r>
    </w:p>
    <w:p>
      <w:pPr>
        <w:rPr>
          <w:rFonts w:ascii="楷体" w:hAnsi="楷体" w:eastAsia="楷体"/>
          <w:color w:val="auto"/>
          <w:sz w:val="28"/>
          <w:szCs w:val="28"/>
        </w:rPr>
      </w:pPr>
    </w:p>
    <w:p>
      <w:pPr>
        <w:ind w:firstLine="1440"/>
        <w:rPr>
          <w:rFonts w:ascii="楷体" w:hAnsi="楷体" w:eastAsia="楷体"/>
          <w:color w:val="auto"/>
          <w:sz w:val="72"/>
          <w:szCs w:val="72"/>
        </w:rPr>
      </w:pPr>
    </w:p>
    <w:p>
      <w:pPr>
        <w:ind w:firstLine="1440"/>
        <w:rPr>
          <w:rFonts w:ascii="楷体" w:hAnsi="楷体" w:eastAsia="楷体"/>
          <w:color w:val="auto"/>
          <w:sz w:val="72"/>
          <w:szCs w:val="72"/>
        </w:rPr>
      </w:pPr>
    </w:p>
    <w:p>
      <w:pPr>
        <w:ind w:firstLine="1440"/>
        <w:rPr>
          <w:rFonts w:ascii="楷体" w:hAnsi="楷体" w:eastAsia="楷体"/>
          <w:color w:val="auto"/>
          <w:sz w:val="72"/>
          <w:szCs w:val="72"/>
        </w:rPr>
      </w:pPr>
    </w:p>
    <w:p>
      <w:pPr>
        <w:jc w:val="center"/>
        <w:rPr>
          <w:rFonts w:ascii="楷体" w:hAnsi="楷体" w:eastAsia="楷体"/>
          <w:color w:val="auto"/>
          <w:sz w:val="72"/>
          <w:szCs w:val="72"/>
        </w:rPr>
      </w:pPr>
      <w:r>
        <w:rPr>
          <w:rFonts w:ascii="楷体" w:hAnsi="楷体" w:eastAsia="楷体"/>
          <w:color w:val="auto"/>
          <w:sz w:val="72"/>
          <w:szCs w:val="72"/>
        </w:rPr>
        <w:t>资产评估</w:t>
      </w:r>
      <w:r>
        <w:rPr>
          <w:rFonts w:hint="eastAsia" w:ascii="楷体" w:hAnsi="楷体" w:eastAsia="楷体"/>
          <w:color w:val="auto"/>
          <w:sz w:val="72"/>
          <w:szCs w:val="72"/>
        </w:rPr>
        <w:t>委托合同</w:t>
      </w:r>
    </w:p>
    <w:p>
      <w:pPr>
        <w:jc w:val="center"/>
        <w:rPr>
          <w:rFonts w:hint="default" w:ascii="Arial Narrow"/>
          <w:b/>
          <w:color w:val="auto"/>
          <w:sz w:val="24"/>
          <w:lang w:val="en-US" w:eastAsia="zh-CN"/>
        </w:rPr>
      </w:pPr>
      <w:r>
        <w:rPr>
          <w:rFonts w:hint="eastAsia" w:ascii="楷体" w:hAnsi="楷体" w:eastAsia="楷体"/>
          <w:color w:val="auto"/>
          <w:sz w:val="24"/>
        </w:rPr>
        <w:t>（</w:t>
      </w:r>
      <w:r>
        <w:rPr>
          <w:rFonts w:hint="eastAsia" w:ascii="Arial Narrow"/>
          <w:b/>
          <w:color w:val="auto"/>
          <w:sz w:val="24"/>
          <w:lang w:eastAsia="zh-CN"/>
        </w:rPr>
        <w:t>北京光华荣昌汽车部件有限公司拟转让</w:t>
      </w:r>
      <w:r>
        <w:rPr>
          <w:rFonts w:hint="eastAsia" w:ascii="Arial Narrow"/>
          <w:b/>
          <w:color w:val="auto"/>
          <w:sz w:val="24"/>
          <w:lang w:val="en-US" w:eastAsia="zh-CN"/>
        </w:rPr>
        <w:t>部分资产</w:t>
      </w:r>
    </w:p>
    <w:p>
      <w:pPr>
        <w:jc w:val="center"/>
        <w:rPr>
          <w:rFonts w:hint="eastAsia" w:ascii="Arial Narrow"/>
          <w:b/>
          <w:color w:val="auto"/>
          <w:sz w:val="24"/>
          <w:lang w:eastAsia="zh-CN"/>
        </w:rPr>
      </w:pPr>
      <w:r>
        <w:rPr>
          <w:rFonts w:hint="eastAsia" w:ascii="Arial Narrow"/>
          <w:b/>
          <w:color w:val="auto"/>
          <w:sz w:val="24"/>
          <w:lang w:eastAsia="zh-CN"/>
        </w:rPr>
        <w:t>涉及的</w:t>
      </w:r>
      <w:r>
        <w:rPr>
          <w:rFonts w:hint="eastAsia" w:ascii="Arial Narrow"/>
          <w:b/>
          <w:color w:val="auto"/>
          <w:sz w:val="24"/>
          <w:lang w:val="en-US" w:eastAsia="zh-CN"/>
        </w:rPr>
        <w:t>位于</w:t>
      </w:r>
      <w:r>
        <w:rPr>
          <w:rFonts w:hint="eastAsia" w:ascii="Arial Narrow"/>
          <w:b/>
          <w:color w:val="auto"/>
          <w:sz w:val="24"/>
          <w:lang w:eastAsia="zh-CN"/>
        </w:rPr>
        <w:t>北京光华荣昌汽车部件有限公司</w:t>
      </w:r>
      <w:r>
        <w:rPr>
          <w:rFonts w:hint="eastAsia" w:ascii="Arial Narrow"/>
          <w:b/>
          <w:color w:val="auto"/>
          <w:sz w:val="24"/>
          <w:lang w:val="en-US" w:eastAsia="zh-CN"/>
        </w:rPr>
        <w:t>厂区内构建筑物市场价值</w:t>
      </w:r>
      <w:bookmarkStart w:id="2" w:name="_GoBack"/>
      <w:bookmarkEnd w:id="2"/>
      <w:r>
        <w:rPr>
          <w:rFonts w:hint="eastAsia" w:ascii="Arial Narrow"/>
          <w:b/>
          <w:color w:val="auto"/>
          <w:sz w:val="24"/>
          <w:lang w:eastAsia="zh-CN"/>
        </w:rPr>
        <w:t>评估项目）</w:t>
      </w:r>
    </w:p>
    <w:p>
      <w:pPr>
        <w:jc w:val="center"/>
        <w:rPr>
          <w:rFonts w:hint="eastAsia" w:ascii="Arial Narrow"/>
          <w:b/>
          <w:color w:val="auto"/>
          <w:sz w:val="24"/>
          <w:lang w:eastAsia="zh-CN"/>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rPr>
          <w:rFonts w:ascii="楷体" w:hAnsi="楷体" w:eastAsia="楷体"/>
          <w:color w:val="auto"/>
          <w:sz w:val="28"/>
          <w:szCs w:val="28"/>
        </w:rPr>
      </w:pPr>
    </w:p>
    <w:p>
      <w:pPr>
        <w:jc w:val="center"/>
        <w:rPr>
          <w:rFonts w:ascii="楷体" w:hAnsi="楷体" w:eastAsia="楷体"/>
          <w:color w:val="auto"/>
          <w:sz w:val="36"/>
          <w:szCs w:val="36"/>
        </w:rPr>
      </w:pPr>
      <w:r>
        <w:rPr>
          <w:rFonts w:ascii="楷体" w:hAnsi="楷体" w:eastAsia="楷体"/>
          <w:color w:val="auto"/>
          <w:sz w:val="36"/>
          <w:szCs w:val="36"/>
        </w:rPr>
        <w:t>银信资产评估有限公司</w:t>
      </w:r>
    </w:p>
    <w:p>
      <w:pPr>
        <w:ind w:firstLine="560"/>
        <w:rPr>
          <w:rFonts w:hint="eastAsia" w:ascii="楷体" w:hAnsi="楷体" w:eastAsia="楷体"/>
          <w:color w:val="auto"/>
          <w:sz w:val="24"/>
          <w:lang w:eastAsia="zh-CN"/>
        </w:rPr>
      </w:pPr>
      <w:r>
        <w:rPr>
          <w:rFonts w:ascii="楷体" w:hAnsi="楷体" w:eastAsia="楷体"/>
          <w:color w:val="auto"/>
          <w:sz w:val="28"/>
          <w:szCs w:val="28"/>
        </w:rPr>
        <w:br w:type="page"/>
      </w:r>
      <w:r>
        <w:rPr>
          <w:rFonts w:ascii="楷体" w:hAnsi="楷体" w:eastAsia="楷体"/>
          <w:color w:val="auto"/>
          <w:sz w:val="24"/>
        </w:rPr>
        <w:t>委托人：</w:t>
      </w:r>
      <w:r>
        <w:rPr>
          <w:rFonts w:hint="eastAsia" w:ascii="楷体" w:hAnsi="楷体" w:eastAsia="楷体"/>
          <w:color w:val="auto"/>
          <w:sz w:val="24"/>
          <w:u w:val="single"/>
          <w:lang w:eastAsia="zh-CN"/>
        </w:rPr>
        <w:t>北京光华荣昌汽车部件有限公司</w:t>
      </w:r>
    </w:p>
    <w:p>
      <w:pPr>
        <w:ind w:firstLine="560"/>
        <w:rPr>
          <w:rFonts w:ascii="楷体" w:hAnsi="楷体" w:eastAsia="楷体"/>
          <w:color w:val="auto"/>
          <w:sz w:val="24"/>
        </w:rPr>
      </w:pPr>
      <w:r>
        <w:rPr>
          <w:rFonts w:ascii="楷体" w:hAnsi="楷体" w:eastAsia="楷体"/>
          <w:color w:val="auto"/>
          <w:sz w:val="24"/>
        </w:rPr>
        <w:t>受托人：</w:t>
      </w:r>
      <w:r>
        <w:rPr>
          <w:rFonts w:ascii="楷体" w:hAnsi="楷体" w:eastAsia="楷体"/>
          <w:color w:val="auto"/>
          <w:sz w:val="24"/>
          <w:u w:val="single"/>
        </w:rPr>
        <w:t>银信资产评估有限公司</w:t>
      </w:r>
    </w:p>
    <w:p>
      <w:pPr>
        <w:ind w:firstLine="560"/>
        <w:rPr>
          <w:rFonts w:ascii="楷体" w:hAnsi="楷体" w:eastAsia="楷体"/>
          <w:color w:val="auto"/>
          <w:sz w:val="24"/>
        </w:rPr>
      </w:pPr>
    </w:p>
    <w:p>
      <w:pPr>
        <w:ind w:firstLine="560"/>
        <w:rPr>
          <w:rFonts w:ascii="楷体" w:hAnsi="楷体" w:eastAsia="楷体"/>
          <w:color w:val="auto"/>
          <w:sz w:val="24"/>
        </w:rPr>
      </w:pPr>
      <w:r>
        <w:rPr>
          <w:rFonts w:ascii="楷体" w:hAnsi="楷体" w:eastAsia="楷体"/>
          <w:color w:val="auto"/>
          <w:sz w:val="24"/>
        </w:rPr>
        <w:t>本约定书确认</w:t>
      </w:r>
      <w:r>
        <w:rPr>
          <w:rFonts w:hint="eastAsia" w:ascii="楷体" w:hAnsi="楷体" w:eastAsia="楷体"/>
          <w:color w:val="auto"/>
          <w:sz w:val="24"/>
          <w:u w:val="single"/>
          <w:lang w:eastAsia="zh-CN"/>
        </w:rPr>
        <w:t>北京光华荣昌汽车部件有限公司</w:t>
      </w:r>
      <w:r>
        <w:rPr>
          <w:rFonts w:hint="eastAsia" w:ascii="楷体" w:hAnsi="楷体" w:eastAsia="楷体"/>
          <w:color w:val="auto"/>
          <w:sz w:val="24"/>
        </w:rPr>
        <w:t>（以下简称委托人）</w:t>
      </w:r>
      <w:r>
        <w:rPr>
          <w:rFonts w:ascii="楷体" w:hAnsi="楷体" w:eastAsia="楷体"/>
          <w:color w:val="auto"/>
          <w:sz w:val="24"/>
        </w:rPr>
        <w:t>委托银信资产评估有限公司（以下简称受托人）就其所委托的资产进行评估。现将</w:t>
      </w:r>
      <w:r>
        <w:rPr>
          <w:rFonts w:hint="eastAsia" w:ascii="楷体" w:hAnsi="楷体" w:eastAsia="楷体"/>
          <w:color w:val="auto"/>
          <w:sz w:val="24"/>
        </w:rPr>
        <w:t>双</w:t>
      </w:r>
      <w:r>
        <w:rPr>
          <w:rFonts w:ascii="楷体" w:hAnsi="楷体" w:eastAsia="楷体"/>
          <w:color w:val="auto"/>
          <w:sz w:val="24"/>
        </w:rPr>
        <w:t>方的责任及有关事项约定如下：</w:t>
      </w:r>
    </w:p>
    <w:p>
      <w:pPr>
        <w:ind w:firstLine="560"/>
        <w:rPr>
          <w:rFonts w:ascii="楷体" w:hAnsi="楷体" w:eastAsia="楷体"/>
          <w:color w:val="auto"/>
          <w:sz w:val="24"/>
        </w:rPr>
      </w:pPr>
    </w:p>
    <w:p>
      <w:pPr>
        <w:pStyle w:val="13"/>
        <w:numPr>
          <w:ilvl w:val="0"/>
          <w:numId w:val="1"/>
        </w:numPr>
        <w:ind w:firstLineChars="0"/>
        <w:rPr>
          <w:rFonts w:ascii="楷体" w:hAnsi="楷体" w:eastAsia="楷体"/>
          <w:b/>
          <w:color w:val="auto"/>
          <w:sz w:val="24"/>
        </w:rPr>
      </w:pPr>
      <w:r>
        <w:rPr>
          <w:rFonts w:ascii="楷体" w:hAnsi="楷体" w:eastAsia="楷体"/>
          <w:b/>
          <w:color w:val="auto"/>
          <w:sz w:val="24"/>
        </w:rPr>
        <w:t>评估目的</w:t>
      </w:r>
    </w:p>
    <w:p>
      <w:pPr>
        <w:ind w:firstLine="560"/>
        <w:rPr>
          <w:rFonts w:ascii="楷体" w:hAnsi="楷体" w:eastAsia="楷体"/>
          <w:color w:val="auto"/>
          <w:sz w:val="24"/>
        </w:rPr>
      </w:pPr>
      <w:r>
        <w:rPr>
          <w:rFonts w:hint="eastAsia" w:ascii="楷体" w:hAnsi="楷体" w:eastAsia="楷体"/>
          <w:color w:val="auto"/>
          <w:sz w:val="24"/>
          <w:lang w:eastAsia="zh-CN"/>
        </w:rPr>
        <w:t>北京光华荣昌汽车部件有限公司拟转让</w:t>
      </w:r>
      <w:r>
        <w:rPr>
          <w:rFonts w:hint="eastAsia" w:ascii="楷体" w:hAnsi="楷体" w:eastAsia="楷体"/>
          <w:color w:val="auto"/>
          <w:sz w:val="24"/>
          <w:lang w:val="en-US" w:eastAsia="zh-CN"/>
        </w:rPr>
        <w:t>部分资产</w:t>
      </w:r>
      <w:r>
        <w:rPr>
          <w:rFonts w:hint="eastAsia" w:ascii="楷体" w:hAnsi="楷体" w:eastAsia="楷体"/>
          <w:color w:val="auto"/>
          <w:sz w:val="24"/>
        </w:rPr>
        <w:t>，需对所涉及的</w:t>
      </w:r>
      <w:r>
        <w:rPr>
          <w:rFonts w:hint="eastAsia" w:ascii="楷体" w:hAnsi="楷体" w:eastAsia="楷体"/>
          <w:color w:val="auto"/>
          <w:sz w:val="24"/>
          <w:lang w:eastAsia="zh-CN"/>
        </w:rPr>
        <w:t>北京光华荣昌汽车部件有限公司</w:t>
      </w:r>
      <w:r>
        <w:rPr>
          <w:rFonts w:hint="eastAsia" w:ascii="楷体" w:hAnsi="楷体" w:eastAsia="楷体"/>
          <w:color w:val="auto"/>
          <w:sz w:val="24"/>
          <w:lang w:val="en-US" w:eastAsia="zh-CN"/>
        </w:rPr>
        <w:t>部分资产</w:t>
      </w:r>
      <w:r>
        <w:rPr>
          <w:rFonts w:hint="eastAsia" w:ascii="楷体" w:hAnsi="楷体" w:eastAsia="楷体"/>
          <w:color w:val="auto"/>
          <w:sz w:val="24"/>
        </w:rPr>
        <w:t>市场价值进行评估，并提供价值参考依据。</w:t>
      </w:r>
    </w:p>
    <w:p>
      <w:pPr>
        <w:ind w:firstLine="480" w:firstLineChars="200"/>
        <w:rPr>
          <w:rFonts w:ascii="楷体" w:hAnsi="楷体" w:eastAsia="楷体"/>
          <w:color w:val="auto"/>
          <w:sz w:val="24"/>
        </w:rPr>
      </w:pPr>
    </w:p>
    <w:p>
      <w:pPr>
        <w:pStyle w:val="13"/>
        <w:numPr>
          <w:ilvl w:val="0"/>
          <w:numId w:val="1"/>
        </w:numPr>
        <w:ind w:firstLineChars="0"/>
        <w:rPr>
          <w:rFonts w:ascii="楷体" w:hAnsi="楷体" w:eastAsia="楷体"/>
          <w:b/>
          <w:color w:val="auto"/>
          <w:sz w:val="24"/>
        </w:rPr>
      </w:pPr>
      <w:r>
        <w:rPr>
          <w:rFonts w:ascii="楷体" w:hAnsi="楷体" w:eastAsia="楷体"/>
          <w:b/>
          <w:color w:val="auto"/>
          <w:sz w:val="24"/>
        </w:rPr>
        <w:t>评估对象和评估范围</w:t>
      </w:r>
    </w:p>
    <w:p>
      <w:pPr>
        <w:ind w:firstLine="560"/>
        <w:rPr>
          <w:rFonts w:ascii="楷体" w:hAnsi="楷体" w:eastAsia="楷体"/>
          <w:color w:val="auto"/>
          <w:sz w:val="24"/>
        </w:rPr>
      </w:pPr>
      <w:r>
        <w:rPr>
          <w:rFonts w:hint="eastAsia" w:ascii="楷体" w:hAnsi="楷体" w:eastAsia="楷体"/>
          <w:color w:val="auto"/>
          <w:sz w:val="24"/>
        </w:rPr>
        <w:t>本次资产评估的对象是</w:t>
      </w:r>
      <w:r>
        <w:rPr>
          <w:rFonts w:hint="eastAsia" w:ascii="楷体" w:hAnsi="楷体" w:eastAsia="楷体"/>
          <w:color w:val="auto"/>
          <w:sz w:val="24"/>
          <w:lang w:eastAsia="zh-CN"/>
        </w:rPr>
        <w:t>北京光华荣昌汽车部件有限公司</w:t>
      </w:r>
      <w:r>
        <w:rPr>
          <w:rFonts w:hint="eastAsia" w:ascii="楷体" w:hAnsi="楷体" w:eastAsia="楷体"/>
          <w:color w:val="auto"/>
          <w:sz w:val="24"/>
          <w:lang w:val="en-US" w:eastAsia="zh-CN"/>
        </w:rPr>
        <w:t>部分资产于基准日的市场</w:t>
      </w:r>
      <w:r>
        <w:rPr>
          <w:rFonts w:hint="eastAsia" w:ascii="楷体" w:hAnsi="楷体" w:eastAsia="楷体"/>
          <w:color w:val="auto"/>
          <w:sz w:val="24"/>
        </w:rPr>
        <w:t>价值。</w:t>
      </w:r>
    </w:p>
    <w:p>
      <w:pPr>
        <w:ind w:firstLine="560"/>
        <w:rPr>
          <w:rFonts w:ascii="楷体" w:hAnsi="楷体" w:eastAsia="楷体"/>
          <w:color w:val="auto"/>
          <w:sz w:val="24"/>
        </w:rPr>
      </w:pPr>
      <w:r>
        <w:rPr>
          <w:rFonts w:hint="eastAsia" w:ascii="楷体" w:hAnsi="楷体" w:eastAsia="楷体"/>
          <w:color w:val="auto"/>
          <w:sz w:val="24"/>
        </w:rPr>
        <w:t>评估范围是</w:t>
      </w:r>
      <w:r>
        <w:rPr>
          <w:rFonts w:hint="eastAsia" w:ascii="楷体" w:hAnsi="楷体" w:eastAsia="楷体"/>
          <w:color w:val="auto"/>
          <w:sz w:val="24"/>
          <w:lang w:val="en-US" w:eastAsia="zh-CN"/>
        </w:rPr>
        <w:t>截至</w:t>
      </w:r>
      <w:r>
        <w:rPr>
          <w:rFonts w:hint="eastAsia" w:ascii="楷体" w:hAnsi="楷体" w:eastAsia="楷体"/>
          <w:color w:val="auto"/>
          <w:sz w:val="24"/>
          <w:lang w:eastAsia="zh-CN"/>
        </w:rPr>
        <w:t>北京光华荣昌汽车部件有限公司</w:t>
      </w:r>
      <w:r>
        <w:rPr>
          <w:rFonts w:hint="eastAsia" w:ascii="楷体" w:hAnsi="楷体" w:eastAsia="楷体"/>
          <w:color w:val="auto"/>
          <w:sz w:val="24"/>
          <w:lang w:val="en-US" w:eastAsia="zh-CN"/>
        </w:rPr>
        <w:t>所申报位于</w:t>
      </w:r>
      <w:r>
        <w:rPr>
          <w:rFonts w:hint="eastAsia" w:ascii="楷体" w:hAnsi="楷体" w:eastAsia="楷体"/>
          <w:color w:val="auto"/>
          <w:sz w:val="24"/>
          <w:lang w:eastAsia="zh-CN"/>
        </w:rPr>
        <w:t>北京光华荣昌汽车部件有限公司</w:t>
      </w:r>
      <w:r>
        <w:rPr>
          <w:rFonts w:hint="eastAsia" w:ascii="楷体" w:hAnsi="楷体" w:eastAsia="楷体"/>
          <w:color w:val="auto"/>
          <w:sz w:val="24"/>
          <w:lang w:val="en-US" w:eastAsia="zh-CN"/>
        </w:rPr>
        <w:t>厂区内部分构建筑物</w:t>
      </w:r>
      <w:r>
        <w:rPr>
          <w:rFonts w:hint="eastAsia" w:ascii="楷体" w:hAnsi="楷体" w:eastAsia="楷体"/>
          <w:color w:val="auto"/>
          <w:sz w:val="24"/>
        </w:rPr>
        <w:t>。</w:t>
      </w:r>
    </w:p>
    <w:p>
      <w:pPr>
        <w:ind w:firstLine="560"/>
        <w:rPr>
          <w:rFonts w:ascii="楷体" w:hAnsi="楷体" w:eastAsia="楷体"/>
          <w:color w:val="auto"/>
          <w:sz w:val="24"/>
        </w:rPr>
      </w:pPr>
    </w:p>
    <w:p>
      <w:pPr>
        <w:pStyle w:val="13"/>
        <w:numPr>
          <w:ilvl w:val="0"/>
          <w:numId w:val="1"/>
        </w:numPr>
        <w:ind w:firstLineChars="0"/>
        <w:rPr>
          <w:rFonts w:ascii="楷体" w:hAnsi="楷体" w:eastAsia="楷体"/>
          <w:b/>
          <w:color w:val="auto"/>
          <w:sz w:val="24"/>
        </w:rPr>
      </w:pPr>
      <w:r>
        <w:rPr>
          <w:rFonts w:ascii="楷体" w:hAnsi="楷体" w:eastAsia="楷体"/>
          <w:b/>
          <w:color w:val="auto"/>
          <w:sz w:val="24"/>
        </w:rPr>
        <w:t>评估基准日</w:t>
      </w:r>
    </w:p>
    <w:p>
      <w:pPr>
        <w:ind w:left="560"/>
        <w:rPr>
          <w:rFonts w:ascii="楷体" w:hAnsi="楷体" w:eastAsia="楷体"/>
          <w:color w:val="auto"/>
          <w:sz w:val="24"/>
        </w:rPr>
      </w:pPr>
      <w:r>
        <w:rPr>
          <w:rFonts w:hint="eastAsia" w:ascii="楷体" w:hAnsi="楷体" w:eastAsia="楷体"/>
          <w:color w:val="auto"/>
          <w:sz w:val="24"/>
        </w:rPr>
        <w:t>评估基准日：</w:t>
      </w:r>
      <w:r>
        <w:rPr>
          <w:rFonts w:ascii="楷体" w:hAnsi="楷体" w:eastAsia="楷体"/>
          <w:color w:val="auto"/>
          <w:sz w:val="24"/>
        </w:rPr>
        <w:t>20</w:t>
      </w:r>
      <w:r>
        <w:rPr>
          <w:rFonts w:hint="eastAsia" w:ascii="楷体" w:hAnsi="楷体" w:eastAsia="楷体"/>
          <w:color w:val="auto"/>
          <w:sz w:val="24"/>
        </w:rPr>
        <w:t>20</w:t>
      </w:r>
      <w:r>
        <w:rPr>
          <w:rFonts w:hint="eastAsia" w:ascii="楷体" w:hAnsi="楷体" w:eastAsia="楷体"/>
          <w:color w:val="auto"/>
          <w:sz w:val="24"/>
          <w:lang w:val="en-US" w:eastAsia="zh-CN"/>
        </w:rPr>
        <w:t>年11</w:t>
      </w:r>
      <w:r>
        <w:rPr>
          <w:rFonts w:ascii="楷体" w:hAnsi="楷体" w:eastAsia="楷体"/>
          <w:color w:val="auto"/>
          <w:sz w:val="24"/>
        </w:rPr>
        <w:t>月3</w:t>
      </w:r>
      <w:r>
        <w:rPr>
          <w:rFonts w:hint="eastAsia" w:ascii="楷体" w:hAnsi="楷体" w:eastAsia="楷体"/>
          <w:color w:val="auto"/>
          <w:sz w:val="24"/>
          <w:lang w:val="en-US" w:eastAsia="zh-CN"/>
        </w:rPr>
        <w:t>0</w:t>
      </w:r>
      <w:r>
        <w:rPr>
          <w:rFonts w:ascii="楷体" w:hAnsi="楷体" w:eastAsia="楷体"/>
          <w:color w:val="auto"/>
          <w:sz w:val="24"/>
        </w:rPr>
        <w:t>日</w:t>
      </w:r>
    </w:p>
    <w:p>
      <w:pPr>
        <w:ind w:firstLine="560"/>
        <w:rPr>
          <w:rFonts w:ascii="楷体" w:hAnsi="楷体" w:eastAsia="楷体"/>
          <w:b/>
          <w:color w:val="auto"/>
          <w:sz w:val="24"/>
        </w:rPr>
      </w:pPr>
    </w:p>
    <w:p>
      <w:pPr>
        <w:pStyle w:val="13"/>
        <w:numPr>
          <w:ilvl w:val="0"/>
          <w:numId w:val="1"/>
        </w:numPr>
        <w:ind w:firstLineChars="0"/>
        <w:rPr>
          <w:rFonts w:ascii="楷体" w:hAnsi="楷体" w:eastAsia="楷体"/>
          <w:b/>
          <w:color w:val="auto"/>
          <w:sz w:val="24"/>
        </w:rPr>
      </w:pPr>
      <w:r>
        <w:rPr>
          <w:rFonts w:hint="eastAsia" w:ascii="楷体" w:hAnsi="楷体" w:eastAsia="楷体"/>
          <w:b/>
          <w:color w:val="auto"/>
          <w:sz w:val="24"/>
        </w:rPr>
        <w:t>评估报告的使用范围</w:t>
      </w:r>
    </w:p>
    <w:p>
      <w:pPr>
        <w:pStyle w:val="13"/>
        <w:numPr>
          <w:ilvl w:val="0"/>
          <w:numId w:val="2"/>
        </w:numPr>
        <w:ind w:left="0" w:firstLine="560" w:firstLineChars="0"/>
        <w:rPr>
          <w:rFonts w:ascii="楷体" w:hAnsi="楷体" w:eastAsia="楷体"/>
          <w:color w:val="auto"/>
          <w:sz w:val="24"/>
        </w:rPr>
      </w:pPr>
      <w:r>
        <w:rPr>
          <w:rFonts w:hint="eastAsia" w:ascii="楷体" w:hAnsi="楷体" w:eastAsia="楷体"/>
          <w:color w:val="auto"/>
          <w:sz w:val="24"/>
        </w:rPr>
        <w:t>资产评估报告使用人</w:t>
      </w:r>
    </w:p>
    <w:p>
      <w:pPr>
        <w:pStyle w:val="13"/>
        <w:numPr>
          <w:ilvl w:val="0"/>
          <w:numId w:val="3"/>
        </w:numPr>
        <w:ind w:firstLineChars="0"/>
        <w:rPr>
          <w:rFonts w:ascii="楷体" w:hAnsi="楷体" w:eastAsia="楷体"/>
          <w:color w:val="auto"/>
          <w:sz w:val="24"/>
        </w:rPr>
      </w:pPr>
      <w:r>
        <w:rPr>
          <w:rFonts w:hint="eastAsia" w:ascii="楷体" w:hAnsi="楷体" w:eastAsia="楷体"/>
          <w:color w:val="auto"/>
          <w:sz w:val="24"/>
        </w:rPr>
        <w:t>国家法律、法规规定的其他资产评估报告使用人。</w:t>
      </w:r>
    </w:p>
    <w:p>
      <w:pPr>
        <w:ind w:firstLine="560"/>
        <w:rPr>
          <w:rFonts w:ascii="楷体" w:hAnsi="楷体" w:eastAsia="楷体"/>
          <w:color w:val="auto"/>
          <w:sz w:val="24"/>
        </w:rPr>
      </w:pPr>
      <w:r>
        <w:rPr>
          <w:rFonts w:hint="eastAsia" w:ascii="楷体" w:hAnsi="楷体" w:eastAsia="楷体"/>
          <w:color w:val="auto"/>
          <w:sz w:val="24"/>
        </w:rPr>
        <w:t>资产评估报告仅供本合同约定的和法律、行政法规规定的使用人使用，其他任何机构和个人不能成为资产评估报告的使用人。</w:t>
      </w:r>
    </w:p>
    <w:p>
      <w:pPr>
        <w:pStyle w:val="13"/>
        <w:numPr>
          <w:ilvl w:val="0"/>
          <w:numId w:val="2"/>
        </w:numPr>
        <w:ind w:left="0" w:firstLine="560" w:firstLineChars="0"/>
        <w:rPr>
          <w:rFonts w:ascii="楷体" w:hAnsi="楷体" w:eastAsia="楷体"/>
          <w:color w:val="auto"/>
          <w:sz w:val="24"/>
        </w:rPr>
      </w:pPr>
      <w:r>
        <w:rPr>
          <w:rFonts w:hint="eastAsia" w:ascii="楷体" w:hAnsi="楷体" w:eastAsia="楷体"/>
          <w:color w:val="auto"/>
          <w:sz w:val="24"/>
        </w:rPr>
        <w:t>委托人或者其他资产评估报告使用人应当按照法律、行政法规规定和资产评估报告载明的使用目的及用途使用资产评估报告。</w:t>
      </w:r>
    </w:p>
    <w:p>
      <w:pPr>
        <w:ind w:firstLine="560"/>
        <w:rPr>
          <w:rFonts w:ascii="楷体" w:hAnsi="楷体" w:eastAsia="楷体"/>
          <w:color w:val="auto"/>
          <w:sz w:val="24"/>
        </w:rPr>
      </w:pPr>
      <w:r>
        <w:rPr>
          <w:rFonts w:hint="eastAsia" w:ascii="楷体" w:hAnsi="楷体" w:eastAsia="楷体"/>
          <w:color w:val="auto"/>
          <w:sz w:val="24"/>
        </w:rPr>
        <w:t>委托人或者其他资产评估报告使用人违反前述约定使用资产评估报告的，受托人及其资产评估专业人员不承担责任。</w:t>
      </w:r>
    </w:p>
    <w:p>
      <w:pPr>
        <w:pStyle w:val="13"/>
        <w:numPr>
          <w:ilvl w:val="0"/>
          <w:numId w:val="2"/>
        </w:numPr>
        <w:ind w:left="0" w:firstLine="560" w:firstLineChars="0"/>
        <w:rPr>
          <w:rFonts w:ascii="楷体" w:hAnsi="楷体" w:eastAsia="楷体"/>
          <w:color w:val="auto"/>
          <w:sz w:val="24"/>
        </w:rPr>
      </w:pPr>
      <w:r>
        <w:rPr>
          <w:rFonts w:hint="eastAsia" w:ascii="楷体" w:hAnsi="楷体" w:eastAsia="楷体"/>
          <w:color w:val="auto"/>
          <w:sz w:val="24"/>
        </w:rPr>
        <w:t>委托人或者其他资产评估报告使用人应在载明的评估结论使用有效期内使用资产评估报告。</w:t>
      </w:r>
    </w:p>
    <w:p>
      <w:pPr>
        <w:pStyle w:val="13"/>
        <w:numPr>
          <w:ilvl w:val="0"/>
          <w:numId w:val="2"/>
        </w:numPr>
        <w:ind w:left="0" w:firstLine="560" w:firstLineChars="0"/>
        <w:rPr>
          <w:rFonts w:ascii="楷体" w:hAnsi="楷体" w:eastAsia="楷体"/>
          <w:color w:val="auto"/>
          <w:sz w:val="24"/>
        </w:rPr>
      </w:pPr>
      <w:r>
        <w:rPr>
          <w:rFonts w:hint="eastAsia" w:ascii="楷体" w:hAnsi="楷体" w:eastAsia="楷体"/>
          <w:color w:val="auto"/>
          <w:sz w:val="24"/>
        </w:rPr>
        <w:t>未经委托人书面许可，受托人及其资产评估专业人员不得将资产评估报告的内容向第三方提供或者公开，法律、行政法规另有规定的除外。</w:t>
      </w:r>
    </w:p>
    <w:p>
      <w:pPr>
        <w:pStyle w:val="13"/>
        <w:numPr>
          <w:ilvl w:val="0"/>
          <w:numId w:val="2"/>
        </w:numPr>
        <w:ind w:left="0" w:firstLine="560" w:firstLineChars="0"/>
        <w:rPr>
          <w:rFonts w:ascii="楷体" w:hAnsi="楷体" w:eastAsia="楷体"/>
          <w:color w:val="auto"/>
          <w:sz w:val="24"/>
        </w:rPr>
      </w:pPr>
      <w:r>
        <w:rPr>
          <w:rFonts w:hint="eastAsia" w:ascii="楷体" w:hAnsi="楷体" w:eastAsia="楷体"/>
          <w:color w:val="auto"/>
          <w:sz w:val="24"/>
        </w:rPr>
        <w:t>未征得受托人同意，资产评估报告的内容不得被摘抄、引用或者披露于公开媒体，法律、行政法规规定以及相关当事人另有约定的除外。</w:t>
      </w:r>
    </w:p>
    <w:p>
      <w:pPr>
        <w:ind w:firstLine="560"/>
        <w:rPr>
          <w:rFonts w:ascii="楷体" w:hAnsi="楷体" w:eastAsia="楷体"/>
          <w:color w:val="auto"/>
          <w:sz w:val="24"/>
        </w:rPr>
      </w:pPr>
    </w:p>
    <w:p>
      <w:pPr>
        <w:pStyle w:val="13"/>
        <w:numPr>
          <w:ilvl w:val="0"/>
          <w:numId w:val="1"/>
        </w:numPr>
        <w:ind w:firstLineChars="0"/>
        <w:rPr>
          <w:rFonts w:ascii="楷体" w:hAnsi="楷体" w:eastAsia="楷体"/>
          <w:b/>
          <w:color w:val="auto"/>
          <w:sz w:val="24"/>
        </w:rPr>
      </w:pPr>
      <w:r>
        <w:rPr>
          <w:rFonts w:hint="eastAsia" w:ascii="楷体" w:hAnsi="楷体" w:eastAsia="楷体"/>
          <w:b/>
          <w:color w:val="auto"/>
          <w:sz w:val="24"/>
        </w:rPr>
        <w:t>评估报告提交期限和方式</w:t>
      </w:r>
    </w:p>
    <w:p>
      <w:pPr>
        <w:pStyle w:val="13"/>
        <w:numPr>
          <w:ilvl w:val="0"/>
          <w:numId w:val="4"/>
        </w:numPr>
        <w:ind w:left="0" w:firstLine="560" w:firstLineChars="0"/>
        <w:rPr>
          <w:rFonts w:ascii="楷体" w:hAnsi="楷体" w:eastAsia="楷体"/>
          <w:color w:val="auto"/>
          <w:sz w:val="24"/>
        </w:rPr>
      </w:pPr>
      <w:r>
        <w:rPr>
          <w:rFonts w:ascii="楷体" w:hAnsi="楷体" w:eastAsia="楷体"/>
          <w:color w:val="auto"/>
          <w:sz w:val="24"/>
        </w:rPr>
        <w:t>委托人</w:t>
      </w:r>
      <w:r>
        <w:rPr>
          <w:rFonts w:hint="eastAsia" w:ascii="楷体" w:hAnsi="楷体" w:eastAsia="楷体"/>
          <w:color w:val="auto"/>
          <w:sz w:val="24"/>
        </w:rPr>
        <w:t>应</w:t>
      </w:r>
      <w:r>
        <w:rPr>
          <w:rFonts w:ascii="楷体" w:hAnsi="楷体" w:eastAsia="楷体"/>
          <w:color w:val="auto"/>
          <w:sz w:val="24"/>
        </w:rPr>
        <w:t>于</w:t>
      </w:r>
      <w:r>
        <w:rPr>
          <w:rFonts w:ascii="楷体" w:hAnsi="楷体" w:eastAsia="楷体"/>
          <w:color w:val="auto"/>
          <w:sz w:val="24"/>
          <w:u w:val="single"/>
        </w:rPr>
        <w:t xml:space="preserve"> </w:t>
      </w:r>
      <w:r>
        <w:rPr>
          <w:rFonts w:hint="eastAsia" w:ascii="楷体" w:hAnsi="楷体" w:eastAsia="楷体"/>
          <w:color w:val="auto"/>
          <w:sz w:val="24"/>
          <w:u w:val="single"/>
        </w:rPr>
        <w:t xml:space="preserve">2020 </w:t>
      </w:r>
      <w:r>
        <w:rPr>
          <w:rFonts w:ascii="楷体" w:hAnsi="楷体" w:eastAsia="楷体"/>
          <w:color w:val="auto"/>
          <w:sz w:val="24"/>
          <w:u w:val="single"/>
        </w:rPr>
        <w:t xml:space="preserve"> </w:t>
      </w:r>
      <w:r>
        <w:rPr>
          <w:rFonts w:hint="eastAsia" w:ascii="楷体" w:hAnsi="楷体" w:eastAsia="楷体"/>
          <w:color w:val="auto"/>
          <w:sz w:val="24"/>
        </w:rPr>
        <w:t>年</w:t>
      </w:r>
      <w:r>
        <w:rPr>
          <w:rFonts w:ascii="楷体" w:hAnsi="楷体" w:eastAsia="楷体"/>
          <w:color w:val="auto"/>
          <w:sz w:val="24"/>
          <w:u w:val="single"/>
        </w:rPr>
        <w:t xml:space="preserve">    </w:t>
      </w:r>
      <w:r>
        <w:rPr>
          <w:rFonts w:hint="eastAsia" w:ascii="楷体" w:hAnsi="楷体" w:eastAsia="楷体"/>
          <w:color w:val="auto"/>
          <w:sz w:val="24"/>
        </w:rPr>
        <w:t>月</w:t>
      </w:r>
      <w:r>
        <w:rPr>
          <w:rFonts w:ascii="楷体" w:hAnsi="楷体" w:eastAsia="楷体"/>
          <w:color w:val="auto"/>
          <w:sz w:val="24"/>
          <w:u w:val="single"/>
        </w:rPr>
        <w:t xml:space="preserve">   </w:t>
      </w:r>
      <w:r>
        <w:rPr>
          <w:rFonts w:hint="eastAsia" w:ascii="楷体" w:hAnsi="楷体" w:eastAsia="楷体"/>
          <w:color w:val="auto"/>
          <w:sz w:val="24"/>
          <w:u w:val="single"/>
        </w:rPr>
        <w:t xml:space="preserve"> </w:t>
      </w:r>
      <w:r>
        <w:rPr>
          <w:rFonts w:hint="eastAsia" w:ascii="楷体" w:hAnsi="楷体" w:eastAsia="楷体"/>
          <w:color w:val="auto"/>
          <w:sz w:val="24"/>
        </w:rPr>
        <w:t>日前</w:t>
      </w:r>
      <w:r>
        <w:rPr>
          <w:rFonts w:ascii="楷体" w:hAnsi="楷体" w:eastAsia="楷体"/>
          <w:color w:val="auto"/>
          <w:sz w:val="24"/>
        </w:rPr>
        <w:t>提供资产评估所需的全部资料。</w:t>
      </w:r>
    </w:p>
    <w:p>
      <w:pPr>
        <w:pStyle w:val="13"/>
        <w:numPr>
          <w:ilvl w:val="0"/>
          <w:numId w:val="4"/>
        </w:numPr>
        <w:ind w:left="0" w:firstLine="560" w:firstLineChars="0"/>
        <w:rPr>
          <w:rFonts w:ascii="楷体" w:hAnsi="楷体" w:eastAsia="楷体"/>
          <w:color w:val="auto"/>
          <w:sz w:val="24"/>
        </w:rPr>
      </w:pPr>
      <w:r>
        <w:rPr>
          <w:rFonts w:ascii="楷体" w:hAnsi="楷体" w:eastAsia="楷体"/>
          <w:color w:val="auto"/>
          <w:sz w:val="24"/>
        </w:rPr>
        <w:t>受托人应于</w:t>
      </w:r>
      <w:r>
        <w:rPr>
          <w:rFonts w:hint="eastAsia" w:ascii="楷体" w:hAnsi="楷体" w:eastAsia="楷体"/>
          <w:color w:val="auto"/>
          <w:sz w:val="24"/>
          <w:u w:val="single"/>
        </w:rPr>
        <w:t xml:space="preserve"> 2020 </w:t>
      </w:r>
      <w:r>
        <w:rPr>
          <w:rFonts w:hint="eastAsia" w:ascii="楷体" w:hAnsi="楷体" w:eastAsia="楷体"/>
          <w:color w:val="auto"/>
          <w:sz w:val="24"/>
        </w:rPr>
        <w:t>年</w:t>
      </w:r>
      <w:r>
        <w:rPr>
          <w:rFonts w:hint="eastAsia" w:ascii="楷体" w:hAnsi="楷体" w:eastAsia="楷体"/>
          <w:color w:val="auto"/>
          <w:sz w:val="24"/>
          <w:u w:val="single"/>
        </w:rPr>
        <w:t xml:space="preserve"> </w:t>
      </w:r>
      <w:r>
        <w:rPr>
          <w:rFonts w:ascii="楷体" w:hAnsi="楷体" w:eastAsia="楷体"/>
          <w:color w:val="auto"/>
          <w:sz w:val="24"/>
          <w:u w:val="single"/>
        </w:rPr>
        <w:t xml:space="preserve">  </w:t>
      </w:r>
      <w:r>
        <w:rPr>
          <w:rFonts w:hint="eastAsia" w:ascii="楷体" w:hAnsi="楷体" w:eastAsia="楷体"/>
          <w:color w:val="auto"/>
          <w:sz w:val="24"/>
          <w:u w:val="single"/>
        </w:rPr>
        <w:t xml:space="preserve"> </w:t>
      </w:r>
      <w:r>
        <w:rPr>
          <w:rFonts w:hint="eastAsia" w:ascii="楷体" w:hAnsi="楷体" w:eastAsia="楷体"/>
          <w:color w:val="auto"/>
          <w:sz w:val="24"/>
        </w:rPr>
        <w:t>月</w:t>
      </w:r>
      <w:r>
        <w:rPr>
          <w:rFonts w:hint="eastAsia" w:ascii="楷体" w:hAnsi="楷体" w:eastAsia="楷体"/>
          <w:color w:val="auto"/>
          <w:sz w:val="24"/>
          <w:u w:val="single"/>
        </w:rPr>
        <w:t xml:space="preserve"> </w:t>
      </w:r>
      <w:r>
        <w:rPr>
          <w:rFonts w:ascii="楷体" w:hAnsi="楷体" w:eastAsia="楷体"/>
          <w:color w:val="auto"/>
          <w:sz w:val="24"/>
          <w:u w:val="single"/>
        </w:rPr>
        <w:t xml:space="preserve">  </w:t>
      </w:r>
      <w:r>
        <w:rPr>
          <w:rFonts w:hint="eastAsia" w:ascii="楷体" w:hAnsi="楷体" w:eastAsia="楷体"/>
          <w:color w:val="auto"/>
          <w:sz w:val="24"/>
          <w:u w:val="single"/>
        </w:rPr>
        <w:t xml:space="preserve"> </w:t>
      </w:r>
      <w:r>
        <w:rPr>
          <w:rFonts w:hint="eastAsia" w:ascii="楷体" w:hAnsi="楷体" w:eastAsia="楷体"/>
          <w:color w:val="auto"/>
          <w:sz w:val="24"/>
        </w:rPr>
        <w:t>日</w:t>
      </w:r>
      <w:r>
        <w:rPr>
          <w:rFonts w:ascii="楷体" w:hAnsi="楷体" w:eastAsia="楷体"/>
          <w:color w:val="auto"/>
          <w:sz w:val="24"/>
        </w:rPr>
        <w:t>出具资产评估初稿，供委托人审核。</w:t>
      </w:r>
    </w:p>
    <w:p>
      <w:pPr>
        <w:ind w:firstLine="560"/>
        <w:rPr>
          <w:rFonts w:ascii="楷体" w:hAnsi="楷体" w:eastAsia="楷体"/>
          <w:color w:val="auto"/>
          <w:sz w:val="24"/>
        </w:rPr>
      </w:pPr>
      <w:r>
        <w:rPr>
          <w:rFonts w:ascii="楷体" w:hAnsi="楷体" w:eastAsia="楷体"/>
          <w:color w:val="auto"/>
          <w:sz w:val="24"/>
        </w:rPr>
        <w:t>如果在评估过程中出现提供评估资料时间延滞、评估工作量显著增加、评估对象异常及其他不可预见的情况，影响资产评估工作如期完成的，受托人应立刻向委托人汇报，征得委托人同意后变更约定事项。</w:t>
      </w:r>
    </w:p>
    <w:p>
      <w:pPr>
        <w:pStyle w:val="13"/>
        <w:numPr>
          <w:ilvl w:val="0"/>
          <w:numId w:val="4"/>
        </w:numPr>
        <w:ind w:left="0" w:firstLine="560" w:firstLineChars="0"/>
        <w:rPr>
          <w:rFonts w:ascii="楷体" w:hAnsi="楷体" w:eastAsia="楷体"/>
          <w:color w:val="auto"/>
          <w:sz w:val="24"/>
        </w:rPr>
      </w:pPr>
      <w:r>
        <w:rPr>
          <w:rFonts w:ascii="楷体" w:hAnsi="楷体" w:eastAsia="楷体"/>
          <w:color w:val="auto"/>
          <w:sz w:val="24"/>
        </w:rPr>
        <w:t>如果委托人对资产评估初稿有异议，受托人应按独立、客观、公正的原则就是否修改资产评估初稿给出回复。</w:t>
      </w:r>
    </w:p>
    <w:p>
      <w:pPr>
        <w:pStyle w:val="13"/>
        <w:numPr>
          <w:ilvl w:val="0"/>
          <w:numId w:val="4"/>
        </w:numPr>
        <w:ind w:left="0" w:firstLine="560" w:firstLineChars="0"/>
        <w:rPr>
          <w:rFonts w:ascii="楷体" w:hAnsi="楷体" w:eastAsia="楷体"/>
          <w:color w:val="auto"/>
          <w:sz w:val="24"/>
        </w:rPr>
      </w:pPr>
      <w:r>
        <w:rPr>
          <w:rFonts w:ascii="楷体" w:hAnsi="楷体" w:eastAsia="楷体"/>
          <w:color w:val="auto"/>
          <w:sz w:val="24"/>
        </w:rPr>
        <w:t>在委托人确认可以出具正式评估报告的报告</w:t>
      </w:r>
      <w:r>
        <w:rPr>
          <w:rFonts w:hint="eastAsia" w:ascii="楷体" w:hAnsi="楷体" w:eastAsia="楷体"/>
          <w:color w:val="auto"/>
          <w:sz w:val="24"/>
          <w:u w:val="single"/>
        </w:rPr>
        <w:t xml:space="preserve"> 5</w:t>
      </w:r>
      <w:r>
        <w:rPr>
          <w:rFonts w:ascii="楷体" w:hAnsi="楷体" w:eastAsia="楷体"/>
          <w:color w:val="auto"/>
          <w:sz w:val="24"/>
          <w:u w:val="single"/>
        </w:rPr>
        <w:t xml:space="preserve"> </w:t>
      </w:r>
      <w:r>
        <w:rPr>
          <w:rFonts w:ascii="楷体" w:hAnsi="楷体" w:eastAsia="楷体"/>
          <w:color w:val="auto"/>
          <w:sz w:val="24"/>
        </w:rPr>
        <w:t>个工作日内，受托人应向委托人提交正式评估报告。</w:t>
      </w:r>
    </w:p>
    <w:p>
      <w:pPr>
        <w:pStyle w:val="13"/>
        <w:numPr>
          <w:ilvl w:val="0"/>
          <w:numId w:val="4"/>
        </w:numPr>
        <w:ind w:left="0" w:firstLine="560" w:firstLineChars="0"/>
        <w:rPr>
          <w:rFonts w:ascii="楷体" w:hAnsi="楷体" w:eastAsia="楷体"/>
          <w:color w:val="auto"/>
          <w:sz w:val="24"/>
        </w:rPr>
      </w:pPr>
      <w:r>
        <w:rPr>
          <w:rFonts w:ascii="楷体" w:hAnsi="楷体" w:eastAsia="楷体"/>
          <w:color w:val="auto"/>
          <w:sz w:val="24"/>
        </w:rPr>
        <w:t>若涉及国有资产监督管理的备案或核准程序，在委托人确认后，受托人方可将评估报告报送予相关国资部门或其授权单位。通过备案或核准程序后的</w:t>
      </w:r>
      <w:r>
        <w:rPr>
          <w:rFonts w:hint="eastAsia" w:ascii="楷体" w:hAnsi="楷体" w:eastAsia="楷体"/>
          <w:color w:val="auto"/>
          <w:sz w:val="24"/>
          <w:u w:val="single"/>
        </w:rPr>
        <w:t xml:space="preserve"> 5</w:t>
      </w:r>
      <w:r>
        <w:rPr>
          <w:rFonts w:ascii="楷体" w:hAnsi="楷体" w:eastAsia="楷体"/>
          <w:color w:val="auto"/>
          <w:sz w:val="24"/>
          <w:u w:val="single"/>
        </w:rPr>
        <w:t xml:space="preserve"> </w:t>
      </w:r>
      <w:r>
        <w:rPr>
          <w:rFonts w:ascii="楷体" w:hAnsi="楷体" w:eastAsia="楷体"/>
          <w:color w:val="auto"/>
          <w:sz w:val="24"/>
        </w:rPr>
        <w:t>个工作日内，受托人应向委托人提交正式评估报告。</w:t>
      </w:r>
    </w:p>
    <w:p>
      <w:pPr>
        <w:pStyle w:val="13"/>
        <w:numPr>
          <w:ilvl w:val="0"/>
          <w:numId w:val="4"/>
        </w:numPr>
        <w:ind w:left="0" w:firstLine="560" w:firstLineChars="0"/>
        <w:rPr>
          <w:rFonts w:ascii="楷体" w:hAnsi="楷体" w:eastAsia="楷体"/>
          <w:color w:val="auto"/>
          <w:sz w:val="24"/>
        </w:rPr>
      </w:pPr>
      <w:r>
        <w:rPr>
          <w:rFonts w:ascii="楷体" w:hAnsi="楷体" w:eastAsia="楷体"/>
          <w:color w:val="auto"/>
          <w:sz w:val="24"/>
        </w:rPr>
        <w:t>资产评估报告一式</w:t>
      </w:r>
      <w:r>
        <w:rPr>
          <w:rFonts w:hint="eastAsia" w:ascii="楷体" w:hAnsi="楷体" w:eastAsia="楷体"/>
          <w:color w:val="auto"/>
          <w:sz w:val="24"/>
          <w:u w:val="single"/>
        </w:rPr>
        <w:t xml:space="preserve">  叁  </w:t>
      </w:r>
      <w:r>
        <w:rPr>
          <w:rFonts w:ascii="楷体" w:hAnsi="楷体" w:eastAsia="楷体"/>
          <w:color w:val="auto"/>
          <w:sz w:val="24"/>
        </w:rPr>
        <w:t>份，提交方式为邮寄。</w:t>
      </w:r>
    </w:p>
    <w:p>
      <w:pPr>
        <w:pStyle w:val="13"/>
        <w:numPr>
          <w:ilvl w:val="0"/>
          <w:numId w:val="4"/>
        </w:numPr>
        <w:ind w:left="0" w:firstLine="560" w:firstLineChars="0"/>
        <w:rPr>
          <w:rFonts w:ascii="楷体" w:hAnsi="楷体" w:eastAsia="楷体"/>
          <w:color w:val="auto"/>
          <w:sz w:val="24"/>
        </w:rPr>
      </w:pPr>
      <w:r>
        <w:rPr>
          <w:rFonts w:hint="eastAsia" w:ascii="楷体" w:hAnsi="楷体" w:eastAsia="楷体"/>
          <w:color w:val="auto"/>
          <w:sz w:val="24"/>
        </w:rPr>
        <w:t>如受托方已经履行合同约定义务，而委托人未能在受托方提供评估报告初稿后一个月内给予受托方出具正式评估报告的确认，经受托方催告之后，委托人无正当理由拒绝确认出具评估报告的，正式评估报告视为已出具</w:t>
      </w:r>
    </w:p>
    <w:p>
      <w:pPr>
        <w:pStyle w:val="13"/>
        <w:numPr>
          <w:ilvl w:val="0"/>
          <w:numId w:val="4"/>
        </w:numPr>
        <w:ind w:left="0" w:firstLine="560" w:firstLineChars="0"/>
        <w:rPr>
          <w:rFonts w:ascii="楷体" w:hAnsi="楷体" w:eastAsia="楷体"/>
          <w:color w:val="auto"/>
          <w:sz w:val="24"/>
        </w:rPr>
      </w:pPr>
      <w:r>
        <w:rPr>
          <w:rFonts w:ascii="楷体" w:hAnsi="楷体" w:eastAsia="楷体"/>
          <w:color w:val="auto"/>
          <w:sz w:val="24"/>
        </w:rPr>
        <w:t>受托人提供正式评估报告，视为完成合约；委托人支付评估服务费完毕，视为完成合约。</w:t>
      </w:r>
    </w:p>
    <w:p>
      <w:pPr>
        <w:ind w:firstLine="560"/>
        <w:rPr>
          <w:rFonts w:ascii="楷体" w:hAnsi="楷体" w:eastAsia="楷体"/>
          <w:color w:val="auto"/>
          <w:sz w:val="24"/>
        </w:rPr>
      </w:pPr>
    </w:p>
    <w:p>
      <w:pPr>
        <w:pStyle w:val="13"/>
        <w:numPr>
          <w:ilvl w:val="0"/>
          <w:numId w:val="1"/>
        </w:numPr>
        <w:ind w:firstLineChars="0"/>
        <w:rPr>
          <w:rFonts w:ascii="楷体" w:hAnsi="楷体" w:eastAsia="楷体"/>
          <w:b/>
          <w:color w:val="auto"/>
          <w:sz w:val="24"/>
        </w:rPr>
      </w:pPr>
      <w:r>
        <w:rPr>
          <w:rFonts w:hint="eastAsia" w:ascii="楷体" w:hAnsi="楷体" w:eastAsia="楷体"/>
          <w:b/>
          <w:color w:val="auto"/>
          <w:sz w:val="24"/>
        </w:rPr>
        <w:t>评估服务费及支付方式</w:t>
      </w:r>
    </w:p>
    <w:p>
      <w:pPr>
        <w:pStyle w:val="13"/>
        <w:numPr>
          <w:ilvl w:val="0"/>
          <w:numId w:val="5"/>
        </w:numPr>
        <w:ind w:left="0" w:firstLine="560" w:firstLineChars="0"/>
        <w:rPr>
          <w:rFonts w:ascii="楷体" w:hAnsi="楷体" w:eastAsia="楷体"/>
          <w:color w:val="auto"/>
          <w:sz w:val="24"/>
        </w:rPr>
      </w:pPr>
      <w:r>
        <w:rPr>
          <w:rFonts w:hint="eastAsia" w:ascii="楷体" w:hAnsi="楷体" w:eastAsia="楷体"/>
          <w:color w:val="auto"/>
          <w:sz w:val="24"/>
        </w:rPr>
        <w:t>本项目的评估服务费总计</w:t>
      </w:r>
      <w:r>
        <w:rPr>
          <w:rFonts w:hint="eastAsia" w:ascii="楷体" w:hAnsi="楷体" w:eastAsia="楷体"/>
          <w:b/>
          <w:color w:val="auto"/>
          <w:sz w:val="24"/>
          <w:u w:val="single"/>
        </w:rPr>
        <w:t>人民币</w:t>
      </w:r>
      <w:r>
        <w:rPr>
          <w:rFonts w:hint="eastAsia" w:ascii="楷体" w:hAnsi="楷体" w:eastAsia="楷体"/>
          <w:b/>
          <w:color w:val="auto"/>
          <w:sz w:val="24"/>
          <w:u w:val="single"/>
          <w:lang w:val="en-US" w:eastAsia="zh-CN"/>
        </w:rPr>
        <w:t>叁万</w:t>
      </w:r>
      <w:r>
        <w:rPr>
          <w:rFonts w:hint="eastAsia" w:ascii="楷体" w:hAnsi="楷体" w:eastAsia="楷体"/>
          <w:b/>
          <w:color w:val="auto"/>
          <w:sz w:val="24"/>
          <w:u w:val="single"/>
        </w:rPr>
        <w:t>元整（￥</w:t>
      </w:r>
      <w:r>
        <w:rPr>
          <w:rFonts w:hint="eastAsia" w:ascii="楷体" w:hAnsi="楷体" w:eastAsia="楷体"/>
          <w:b/>
          <w:color w:val="auto"/>
          <w:sz w:val="24"/>
          <w:u w:val="single"/>
          <w:lang w:val="en-US" w:eastAsia="zh-CN"/>
        </w:rPr>
        <w:t>30000</w:t>
      </w:r>
      <w:r>
        <w:rPr>
          <w:rFonts w:hint="eastAsia" w:ascii="楷体" w:hAnsi="楷体" w:eastAsia="楷体"/>
          <w:b/>
          <w:color w:val="auto"/>
          <w:sz w:val="24"/>
          <w:u w:val="single"/>
        </w:rPr>
        <w:t>.00）</w:t>
      </w:r>
      <w:r>
        <w:rPr>
          <w:rFonts w:hint="eastAsia" w:ascii="楷体" w:hAnsi="楷体" w:eastAsia="楷体"/>
          <w:color w:val="auto"/>
          <w:sz w:val="24"/>
        </w:rPr>
        <w:t>，评估服务费含增值税款。</w:t>
      </w:r>
    </w:p>
    <w:p>
      <w:pPr>
        <w:pStyle w:val="13"/>
        <w:numPr>
          <w:ilvl w:val="0"/>
          <w:numId w:val="5"/>
        </w:numPr>
        <w:ind w:left="0" w:firstLine="560" w:firstLineChars="0"/>
        <w:rPr>
          <w:rFonts w:ascii="楷体" w:hAnsi="楷体" w:eastAsia="楷体"/>
          <w:color w:val="auto"/>
          <w:sz w:val="24"/>
        </w:rPr>
      </w:pPr>
      <w:r>
        <w:rPr>
          <w:rFonts w:hint="eastAsia" w:ascii="楷体" w:hAnsi="楷体" w:eastAsia="楷体"/>
          <w:color w:val="auto"/>
          <w:sz w:val="24"/>
        </w:rPr>
        <w:t>付款方式为：</w:t>
      </w:r>
    </w:p>
    <w:p>
      <w:pPr>
        <w:pStyle w:val="13"/>
        <w:ind w:firstLine="600" w:firstLineChars="250"/>
        <w:rPr>
          <w:rFonts w:ascii="楷体" w:hAnsi="楷体" w:eastAsia="楷体"/>
          <w:color w:val="auto"/>
          <w:sz w:val="24"/>
        </w:rPr>
      </w:pPr>
      <w:r>
        <w:rPr>
          <w:rFonts w:hint="eastAsia" w:ascii="楷体" w:hAnsi="楷体" w:eastAsia="楷体"/>
          <w:color w:val="auto"/>
          <w:sz w:val="24"/>
        </w:rPr>
        <w:t>1、委托人在签订本合同后五日内，应将50%的评估服务费即</w:t>
      </w:r>
      <w:r>
        <w:rPr>
          <w:rFonts w:hint="eastAsia" w:ascii="楷体" w:hAnsi="楷体" w:eastAsia="楷体"/>
          <w:b/>
          <w:bCs/>
          <w:color w:val="auto"/>
          <w:sz w:val="24"/>
          <w:u w:val="single"/>
        </w:rPr>
        <w:t>人民币</w:t>
      </w:r>
      <w:r>
        <w:rPr>
          <w:rFonts w:hint="eastAsia" w:ascii="楷体" w:hAnsi="楷体" w:eastAsia="楷体"/>
          <w:b/>
          <w:bCs/>
          <w:color w:val="auto"/>
          <w:sz w:val="24"/>
          <w:u w:val="single"/>
          <w:lang w:val="en-US" w:eastAsia="zh-CN"/>
        </w:rPr>
        <w:t>壹万伍仟</w:t>
      </w:r>
      <w:r>
        <w:rPr>
          <w:rFonts w:hint="eastAsia" w:ascii="楷体" w:hAnsi="楷体" w:eastAsia="楷体"/>
          <w:b/>
          <w:color w:val="auto"/>
          <w:sz w:val="24"/>
          <w:u w:val="single"/>
        </w:rPr>
        <w:t>整（￥</w:t>
      </w:r>
      <w:r>
        <w:rPr>
          <w:rFonts w:hint="eastAsia" w:ascii="楷体" w:hAnsi="楷体" w:eastAsia="楷体"/>
          <w:b/>
          <w:color w:val="auto"/>
          <w:sz w:val="24"/>
          <w:u w:val="single"/>
          <w:lang w:val="en-US" w:eastAsia="zh-CN"/>
        </w:rPr>
        <w:t>15000</w:t>
      </w:r>
      <w:r>
        <w:rPr>
          <w:rFonts w:hint="eastAsia" w:ascii="楷体" w:hAnsi="楷体" w:eastAsia="楷体"/>
          <w:b/>
          <w:color w:val="auto"/>
          <w:sz w:val="24"/>
          <w:u w:val="single"/>
        </w:rPr>
        <w:t>.00），</w:t>
      </w:r>
      <w:r>
        <w:rPr>
          <w:rFonts w:hint="eastAsia" w:ascii="楷体" w:hAnsi="楷体" w:eastAsia="楷体"/>
          <w:color w:val="auto"/>
          <w:sz w:val="24"/>
        </w:rPr>
        <w:t>通过银行转账方式支付给受托人；</w:t>
      </w:r>
    </w:p>
    <w:p>
      <w:pPr>
        <w:pStyle w:val="13"/>
        <w:ind w:firstLine="600" w:firstLineChars="250"/>
        <w:rPr>
          <w:rFonts w:ascii="楷体" w:hAnsi="楷体" w:eastAsia="楷体"/>
          <w:color w:val="auto"/>
          <w:sz w:val="24"/>
        </w:rPr>
      </w:pPr>
      <w:r>
        <w:rPr>
          <w:rFonts w:hint="eastAsia" w:ascii="楷体" w:hAnsi="楷体" w:eastAsia="楷体"/>
          <w:color w:val="auto"/>
          <w:sz w:val="24"/>
        </w:rPr>
        <w:t>2、受托人提供报告后五日内，委托人应将50%的评估服务费即</w:t>
      </w:r>
      <w:r>
        <w:rPr>
          <w:rFonts w:hint="eastAsia" w:ascii="楷体" w:hAnsi="楷体" w:eastAsia="楷体"/>
          <w:b/>
          <w:bCs/>
          <w:color w:val="auto"/>
          <w:sz w:val="24"/>
          <w:u w:val="single"/>
        </w:rPr>
        <w:t>人民币</w:t>
      </w:r>
      <w:r>
        <w:rPr>
          <w:rFonts w:hint="eastAsia" w:ascii="楷体" w:hAnsi="楷体" w:eastAsia="楷体"/>
          <w:b/>
          <w:bCs/>
          <w:color w:val="auto"/>
          <w:sz w:val="24"/>
          <w:u w:val="single"/>
          <w:lang w:val="en-US" w:eastAsia="zh-CN"/>
        </w:rPr>
        <w:t>壹万伍仟</w:t>
      </w:r>
      <w:r>
        <w:rPr>
          <w:rFonts w:hint="eastAsia" w:ascii="楷体" w:hAnsi="楷体" w:eastAsia="楷体"/>
          <w:b/>
          <w:color w:val="auto"/>
          <w:sz w:val="24"/>
          <w:u w:val="single"/>
        </w:rPr>
        <w:t>整（￥</w:t>
      </w:r>
      <w:r>
        <w:rPr>
          <w:rFonts w:hint="eastAsia" w:ascii="楷体" w:hAnsi="楷体" w:eastAsia="楷体"/>
          <w:b/>
          <w:color w:val="auto"/>
          <w:sz w:val="24"/>
          <w:u w:val="single"/>
          <w:lang w:val="en-US" w:eastAsia="zh-CN"/>
        </w:rPr>
        <w:t>15000</w:t>
      </w:r>
      <w:r>
        <w:rPr>
          <w:rFonts w:hint="eastAsia" w:ascii="楷体" w:hAnsi="楷体" w:eastAsia="楷体"/>
          <w:b/>
          <w:color w:val="auto"/>
          <w:sz w:val="24"/>
          <w:u w:val="single"/>
        </w:rPr>
        <w:t>.00），</w:t>
      </w:r>
      <w:r>
        <w:rPr>
          <w:rFonts w:hint="eastAsia" w:ascii="楷体" w:hAnsi="楷体" w:eastAsia="楷体"/>
          <w:color w:val="auto"/>
          <w:sz w:val="24"/>
        </w:rPr>
        <w:t>通过银行转账方式支付给受托人。</w:t>
      </w:r>
    </w:p>
    <w:p>
      <w:pPr>
        <w:pStyle w:val="13"/>
        <w:numPr>
          <w:ilvl w:val="0"/>
          <w:numId w:val="5"/>
        </w:numPr>
        <w:ind w:left="0" w:firstLine="560" w:firstLineChars="0"/>
        <w:rPr>
          <w:rFonts w:ascii="楷体" w:hAnsi="楷体" w:eastAsia="楷体"/>
          <w:color w:val="auto"/>
          <w:sz w:val="24"/>
        </w:rPr>
      </w:pPr>
      <w:r>
        <w:rPr>
          <w:rFonts w:hint="eastAsia" w:ascii="楷体" w:hAnsi="楷体" w:eastAsia="楷体"/>
          <w:color w:val="auto"/>
          <w:sz w:val="24"/>
        </w:rPr>
        <w:t>受托人在评估过程中，需出差的差旅费、住勤费、交通费等均由受托人承担。</w:t>
      </w:r>
    </w:p>
    <w:p>
      <w:pPr>
        <w:pStyle w:val="13"/>
        <w:numPr>
          <w:ilvl w:val="0"/>
          <w:numId w:val="5"/>
        </w:numPr>
        <w:ind w:left="0" w:firstLine="560" w:firstLineChars="0"/>
        <w:rPr>
          <w:rFonts w:ascii="楷体" w:hAnsi="楷体" w:eastAsia="楷体"/>
          <w:color w:val="auto"/>
          <w:sz w:val="24"/>
        </w:rPr>
      </w:pPr>
      <w:r>
        <w:rPr>
          <w:rFonts w:hint="eastAsia" w:ascii="楷体" w:hAnsi="楷体" w:eastAsia="楷体"/>
          <w:color w:val="auto"/>
          <w:sz w:val="24"/>
        </w:rPr>
        <w:t>收取方式：委托人和受托人同意委托人将评估费支付到银信资产评估有限公司北京分公司账户，并由其开具增值税专用发票。</w:t>
      </w:r>
    </w:p>
    <w:p>
      <w:pPr>
        <w:pStyle w:val="13"/>
        <w:ind w:left="1385" w:firstLine="0" w:firstLineChars="0"/>
        <w:rPr>
          <w:rFonts w:ascii="楷体" w:hAnsi="楷体" w:eastAsia="楷体"/>
          <w:color w:val="auto"/>
          <w:sz w:val="24"/>
        </w:rPr>
      </w:pPr>
      <w:r>
        <w:rPr>
          <w:rFonts w:hint="eastAsia" w:ascii="楷体" w:hAnsi="楷体" w:eastAsia="楷体"/>
          <w:color w:val="auto"/>
          <w:sz w:val="24"/>
        </w:rPr>
        <w:t>汇款信息：</w:t>
      </w:r>
    </w:p>
    <w:p>
      <w:pPr>
        <w:ind w:firstLine="1440" w:firstLineChars="600"/>
        <w:rPr>
          <w:rFonts w:ascii="楷体" w:hAnsi="楷体" w:eastAsia="楷体"/>
          <w:color w:val="auto"/>
          <w:sz w:val="24"/>
        </w:rPr>
      </w:pPr>
      <w:r>
        <w:rPr>
          <w:rFonts w:hint="eastAsia" w:ascii="楷体" w:hAnsi="楷体" w:eastAsia="楷体"/>
          <w:color w:val="auto"/>
          <w:sz w:val="24"/>
        </w:rPr>
        <w:t>单位名称：银信资产评估有限公司北京分公司</w:t>
      </w:r>
    </w:p>
    <w:p>
      <w:pPr>
        <w:ind w:firstLine="1440" w:firstLineChars="600"/>
        <w:rPr>
          <w:rFonts w:ascii="楷体" w:hAnsi="楷体" w:eastAsia="楷体"/>
          <w:color w:val="auto"/>
          <w:sz w:val="24"/>
        </w:rPr>
      </w:pPr>
      <w:r>
        <w:rPr>
          <w:rFonts w:hint="eastAsia" w:ascii="楷体" w:hAnsi="楷体" w:eastAsia="楷体"/>
          <w:color w:val="auto"/>
          <w:sz w:val="24"/>
        </w:rPr>
        <w:t>纳税人识别号：91110102082859504J</w:t>
      </w:r>
    </w:p>
    <w:p>
      <w:pPr>
        <w:ind w:firstLine="1440" w:firstLineChars="600"/>
        <w:rPr>
          <w:rFonts w:ascii="楷体" w:hAnsi="楷体" w:eastAsia="楷体"/>
          <w:color w:val="auto"/>
          <w:sz w:val="24"/>
        </w:rPr>
      </w:pPr>
      <w:r>
        <w:rPr>
          <w:rFonts w:hint="eastAsia" w:ascii="楷体" w:hAnsi="楷体" w:eastAsia="楷体"/>
          <w:color w:val="auto"/>
          <w:sz w:val="24"/>
        </w:rPr>
        <w:t>地址：北京市朝阳区安定路5号院7号楼6层101号20层01单元</w:t>
      </w:r>
    </w:p>
    <w:p>
      <w:pPr>
        <w:ind w:firstLine="1440" w:firstLineChars="600"/>
        <w:rPr>
          <w:rFonts w:ascii="楷体" w:hAnsi="楷体" w:eastAsia="楷体"/>
          <w:color w:val="auto"/>
          <w:sz w:val="24"/>
        </w:rPr>
      </w:pPr>
      <w:r>
        <w:rPr>
          <w:rFonts w:hint="eastAsia" w:ascii="楷体" w:hAnsi="楷体" w:eastAsia="楷体"/>
          <w:color w:val="auto"/>
          <w:sz w:val="24"/>
        </w:rPr>
        <w:t>电话：010-56730148</w:t>
      </w:r>
    </w:p>
    <w:p>
      <w:pPr>
        <w:ind w:firstLine="1440" w:firstLineChars="600"/>
        <w:rPr>
          <w:rFonts w:ascii="楷体" w:hAnsi="楷体" w:eastAsia="楷体"/>
          <w:color w:val="auto"/>
          <w:sz w:val="24"/>
        </w:rPr>
      </w:pPr>
      <w:r>
        <w:rPr>
          <w:rFonts w:hint="eastAsia" w:ascii="楷体" w:hAnsi="楷体" w:eastAsia="楷体"/>
          <w:color w:val="auto"/>
          <w:sz w:val="24"/>
        </w:rPr>
        <w:t xml:space="preserve">开户行：交通银行北京北三环中路支行 </w:t>
      </w:r>
    </w:p>
    <w:p>
      <w:pPr>
        <w:ind w:firstLine="1440" w:firstLineChars="600"/>
        <w:rPr>
          <w:rFonts w:ascii="楷体" w:hAnsi="楷体" w:eastAsia="楷体"/>
          <w:color w:val="auto"/>
          <w:sz w:val="24"/>
        </w:rPr>
      </w:pPr>
      <w:r>
        <w:rPr>
          <w:rFonts w:hint="eastAsia" w:ascii="楷体" w:hAnsi="楷体" w:eastAsia="楷体"/>
          <w:color w:val="auto"/>
          <w:sz w:val="24"/>
        </w:rPr>
        <w:t>账号：110060567018150077333</w:t>
      </w:r>
    </w:p>
    <w:p>
      <w:pPr>
        <w:ind w:firstLine="1440" w:firstLineChars="600"/>
        <w:rPr>
          <w:rFonts w:ascii="楷体" w:hAnsi="楷体" w:eastAsia="楷体"/>
          <w:color w:val="auto"/>
          <w:sz w:val="24"/>
        </w:rPr>
      </w:pPr>
    </w:p>
    <w:p>
      <w:pPr>
        <w:pStyle w:val="13"/>
        <w:numPr>
          <w:ilvl w:val="0"/>
          <w:numId w:val="1"/>
        </w:numPr>
        <w:ind w:firstLineChars="0"/>
        <w:rPr>
          <w:rFonts w:ascii="楷体" w:hAnsi="楷体" w:eastAsia="楷体"/>
          <w:b/>
          <w:color w:val="auto"/>
          <w:sz w:val="24"/>
        </w:rPr>
      </w:pPr>
      <w:r>
        <w:rPr>
          <w:rFonts w:hint="eastAsia" w:ascii="楷体" w:hAnsi="楷体" w:eastAsia="楷体"/>
          <w:b/>
          <w:color w:val="auto"/>
          <w:sz w:val="24"/>
        </w:rPr>
        <w:t>委托人和受托人的其他权利和义务</w:t>
      </w:r>
    </w:p>
    <w:p>
      <w:pPr>
        <w:pStyle w:val="13"/>
        <w:numPr>
          <w:ilvl w:val="0"/>
          <w:numId w:val="6"/>
        </w:numPr>
        <w:ind w:firstLineChars="0"/>
        <w:rPr>
          <w:rFonts w:ascii="楷体" w:hAnsi="楷体" w:eastAsia="楷体"/>
          <w:color w:val="auto"/>
          <w:sz w:val="24"/>
        </w:rPr>
      </w:pPr>
      <w:r>
        <w:rPr>
          <w:rFonts w:ascii="楷体" w:hAnsi="楷体" w:eastAsia="楷体"/>
          <w:color w:val="auto"/>
          <w:sz w:val="24"/>
        </w:rPr>
        <w:t>委托人</w:t>
      </w:r>
      <w:r>
        <w:rPr>
          <w:rFonts w:hint="eastAsia" w:ascii="楷体" w:hAnsi="楷体" w:eastAsia="楷体"/>
          <w:color w:val="auto"/>
          <w:sz w:val="24"/>
        </w:rPr>
        <w:t>的其他权利和义务</w:t>
      </w:r>
    </w:p>
    <w:p>
      <w:pPr>
        <w:pStyle w:val="13"/>
        <w:numPr>
          <w:ilvl w:val="0"/>
          <w:numId w:val="7"/>
        </w:numPr>
        <w:ind w:left="0" w:firstLine="560" w:firstLineChars="0"/>
        <w:rPr>
          <w:rFonts w:ascii="楷体" w:hAnsi="楷体" w:eastAsia="楷体"/>
          <w:color w:val="auto"/>
          <w:sz w:val="24"/>
        </w:rPr>
      </w:pPr>
      <w:r>
        <w:rPr>
          <w:rFonts w:hint="eastAsia" w:ascii="楷体" w:hAnsi="楷体" w:eastAsia="楷体"/>
          <w:color w:val="auto"/>
          <w:sz w:val="24"/>
        </w:rPr>
        <w:t>委托人应当为受托人及其资产评估专业人员开展资产评估业务提供必要的工作条件和协助；委托人应当根据资产评估业务需要，负责受托人及其资产评估专业人员与其他相关当事人之间的协调。</w:t>
      </w:r>
    </w:p>
    <w:p>
      <w:pPr>
        <w:pStyle w:val="13"/>
        <w:numPr>
          <w:ilvl w:val="0"/>
          <w:numId w:val="7"/>
        </w:numPr>
        <w:ind w:left="0" w:firstLine="560" w:firstLineChars="0"/>
        <w:rPr>
          <w:rFonts w:ascii="楷体" w:hAnsi="楷体" w:eastAsia="楷体"/>
          <w:color w:val="auto"/>
          <w:sz w:val="24"/>
        </w:rPr>
      </w:pPr>
      <w:r>
        <w:rPr>
          <w:rFonts w:hint="eastAsia" w:ascii="楷体" w:hAnsi="楷体" w:eastAsia="楷体"/>
          <w:color w:val="auto"/>
          <w:sz w:val="24"/>
        </w:rPr>
        <w:t>委托人或者其他相关当事人应依法提供资产评估业务需要的资料，并保证资料的真实性、完整性、合法性，委托人或者其他相关当事人应当对其提供的资产评估明细表及其他重要资料的真实性、完整性、合法性进行确认，确认方式包括签字、盖章或者法律允许的其他方式。</w:t>
      </w:r>
    </w:p>
    <w:p>
      <w:pPr>
        <w:pStyle w:val="13"/>
        <w:numPr>
          <w:ilvl w:val="0"/>
          <w:numId w:val="7"/>
        </w:numPr>
        <w:ind w:left="0" w:firstLine="560" w:firstLineChars="0"/>
        <w:rPr>
          <w:rFonts w:ascii="楷体" w:hAnsi="楷体" w:eastAsia="楷体"/>
          <w:color w:val="auto"/>
          <w:sz w:val="24"/>
        </w:rPr>
      </w:pPr>
      <w:r>
        <w:rPr>
          <w:rFonts w:ascii="楷体" w:hAnsi="楷体" w:eastAsia="楷体"/>
          <w:color w:val="auto"/>
          <w:sz w:val="24"/>
        </w:rPr>
        <w:t>受托人认为需要发函向有关部门询证时，委托人应提供方便，并承担必要的费用。</w:t>
      </w:r>
    </w:p>
    <w:p>
      <w:pPr>
        <w:pStyle w:val="13"/>
        <w:numPr>
          <w:ilvl w:val="0"/>
          <w:numId w:val="7"/>
        </w:numPr>
        <w:ind w:left="0" w:firstLine="560" w:firstLineChars="0"/>
        <w:rPr>
          <w:rFonts w:ascii="楷体" w:hAnsi="楷体" w:eastAsia="楷体"/>
          <w:color w:val="auto"/>
          <w:sz w:val="24"/>
        </w:rPr>
      </w:pPr>
      <w:r>
        <w:rPr>
          <w:rFonts w:ascii="楷体" w:hAnsi="楷体" w:eastAsia="楷体"/>
          <w:color w:val="auto"/>
          <w:sz w:val="24"/>
        </w:rPr>
        <w:t>若按照国有资产管理规定，评估报告需要履行国有资产监督管理的审核备案程序，委托人有义务按照规定履行程序。</w:t>
      </w:r>
    </w:p>
    <w:p>
      <w:pPr>
        <w:pStyle w:val="13"/>
        <w:numPr>
          <w:ilvl w:val="0"/>
          <w:numId w:val="7"/>
        </w:numPr>
        <w:ind w:left="0" w:firstLine="560" w:firstLineChars="0"/>
        <w:rPr>
          <w:rFonts w:ascii="楷体" w:hAnsi="楷体" w:eastAsia="楷体"/>
          <w:color w:val="auto"/>
          <w:sz w:val="24"/>
        </w:rPr>
      </w:pPr>
      <w:r>
        <w:rPr>
          <w:rFonts w:ascii="楷体" w:hAnsi="楷体" w:eastAsia="楷体"/>
          <w:color w:val="auto"/>
          <w:sz w:val="24"/>
        </w:rPr>
        <w:t>作为资产评估程序的一部分，委托人</w:t>
      </w:r>
      <w:r>
        <w:rPr>
          <w:rFonts w:hint="eastAsia" w:ascii="楷体" w:hAnsi="楷体" w:eastAsia="楷体"/>
          <w:color w:val="auto"/>
          <w:sz w:val="24"/>
        </w:rPr>
        <w:t>及产权持有人</w:t>
      </w:r>
      <w:r>
        <w:rPr>
          <w:rFonts w:ascii="楷体" w:hAnsi="楷体" w:eastAsia="楷体"/>
          <w:color w:val="auto"/>
          <w:sz w:val="24"/>
        </w:rPr>
        <w:t>应提供一份资产评估的承诺书，对</w:t>
      </w:r>
      <w:r>
        <w:rPr>
          <w:rFonts w:hint="eastAsia" w:ascii="楷体" w:hAnsi="楷体" w:eastAsia="楷体"/>
          <w:color w:val="auto"/>
          <w:sz w:val="24"/>
        </w:rPr>
        <w:t>资产评估的相关情况作出</w:t>
      </w:r>
      <w:r>
        <w:rPr>
          <w:rFonts w:ascii="楷体" w:hAnsi="楷体" w:eastAsia="楷体"/>
          <w:color w:val="auto"/>
          <w:sz w:val="24"/>
        </w:rPr>
        <w:t>必要的承诺</w:t>
      </w:r>
      <w:r>
        <w:rPr>
          <w:rFonts w:hint="eastAsia" w:ascii="楷体" w:hAnsi="楷体" w:eastAsia="楷体"/>
          <w:color w:val="auto"/>
          <w:sz w:val="24"/>
        </w:rPr>
        <w:t>。</w:t>
      </w:r>
    </w:p>
    <w:p>
      <w:pPr>
        <w:pStyle w:val="13"/>
        <w:numPr>
          <w:ilvl w:val="0"/>
          <w:numId w:val="7"/>
        </w:numPr>
        <w:ind w:left="0" w:firstLine="560" w:firstLineChars="0"/>
        <w:rPr>
          <w:rFonts w:ascii="楷体" w:hAnsi="楷体" w:eastAsia="楷体"/>
          <w:color w:val="auto"/>
          <w:sz w:val="24"/>
        </w:rPr>
      </w:pPr>
      <w:r>
        <w:rPr>
          <w:rFonts w:hint="eastAsia" w:ascii="楷体" w:hAnsi="楷体" w:eastAsia="楷体"/>
          <w:color w:val="auto"/>
          <w:sz w:val="24"/>
        </w:rPr>
        <w:t>委托人或者其他相关当事人</w:t>
      </w:r>
      <w:r>
        <w:rPr>
          <w:rFonts w:ascii="楷体" w:hAnsi="楷体" w:eastAsia="楷体"/>
          <w:color w:val="auto"/>
          <w:sz w:val="24"/>
        </w:rPr>
        <w:t>应</w:t>
      </w:r>
      <w:r>
        <w:rPr>
          <w:rFonts w:hint="eastAsia" w:ascii="楷体" w:hAnsi="楷体" w:eastAsia="楷体"/>
          <w:color w:val="auto"/>
          <w:sz w:val="24"/>
        </w:rPr>
        <w:t>恰当</w:t>
      </w:r>
      <w:r>
        <w:rPr>
          <w:rFonts w:ascii="楷体" w:hAnsi="楷体" w:eastAsia="楷体"/>
          <w:color w:val="auto"/>
          <w:sz w:val="24"/>
        </w:rPr>
        <w:t>使用资产评估报告</w:t>
      </w:r>
      <w:r>
        <w:rPr>
          <w:rFonts w:hint="eastAsia" w:ascii="楷体" w:hAnsi="楷体" w:eastAsia="楷体"/>
          <w:color w:val="auto"/>
          <w:sz w:val="24"/>
        </w:rPr>
        <w:t>，</w:t>
      </w:r>
      <w:r>
        <w:rPr>
          <w:rFonts w:ascii="楷体" w:hAnsi="楷体" w:eastAsia="楷体"/>
          <w:color w:val="auto"/>
          <w:sz w:val="24"/>
        </w:rPr>
        <w:t>对不当使用评估报告所造成的后果，受托人不承担责任。</w:t>
      </w:r>
    </w:p>
    <w:p>
      <w:pPr>
        <w:pStyle w:val="13"/>
        <w:numPr>
          <w:ilvl w:val="0"/>
          <w:numId w:val="7"/>
        </w:numPr>
        <w:ind w:left="0" w:firstLine="560" w:firstLineChars="0"/>
        <w:rPr>
          <w:rFonts w:ascii="楷体" w:hAnsi="楷体" w:eastAsia="楷体"/>
          <w:color w:val="auto"/>
          <w:sz w:val="24"/>
        </w:rPr>
      </w:pPr>
      <w:r>
        <w:rPr>
          <w:rFonts w:ascii="楷体" w:hAnsi="楷体" w:eastAsia="楷体"/>
          <w:color w:val="auto"/>
          <w:sz w:val="24"/>
        </w:rPr>
        <w:t>委托人应按照约定条件，及时足额支付业务费。</w:t>
      </w:r>
    </w:p>
    <w:p>
      <w:pPr>
        <w:pStyle w:val="13"/>
        <w:numPr>
          <w:ilvl w:val="0"/>
          <w:numId w:val="7"/>
        </w:numPr>
        <w:ind w:left="0" w:firstLine="560" w:firstLineChars="0"/>
        <w:rPr>
          <w:rFonts w:ascii="楷体" w:hAnsi="楷体" w:eastAsia="楷体"/>
          <w:color w:val="auto"/>
          <w:sz w:val="24"/>
        </w:rPr>
      </w:pPr>
      <w:r>
        <w:rPr>
          <w:rFonts w:ascii="楷体" w:hAnsi="楷体" w:eastAsia="楷体"/>
          <w:color w:val="auto"/>
          <w:sz w:val="24"/>
        </w:rPr>
        <w:t>委托人有依约按期获取评估报告的权利。</w:t>
      </w:r>
    </w:p>
    <w:p>
      <w:pPr>
        <w:pStyle w:val="13"/>
        <w:numPr>
          <w:ilvl w:val="0"/>
          <w:numId w:val="6"/>
        </w:numPr>
        <w:ind w:firstLineChars="0"/>
        <w:rPr>
          <w:rFonts w:ascii="楷体" w:hAnsi="楷体" w:eastAsia="楷体"/>
          <w:color w:val="auto"/>
          <w:sz w:val="24"/>
        </w:rPr>
      </w:pPr>
      <w:r>
        <w:rPr>
          <w:rFonts w:ascii="楷体" w:hAnsi="楷体" w:eastAsia="楷体"/>
          <w:color w:val="auto"/>
          <w:sz w:val="24"/>
        </w:rPr>
        <w:t>受托人</w:t>
      </w:r>
      <w:r>
        <w:rPr>
          <w:rFonts w:hint="eastAsia" w:ascii="楷体" w:hAnsi="楷体" w:eastAsia="楷体"/>
          <w:color w:val="auto"/>
          <w:sz w:val="24"/>
        </w:rPr>
        <w:t>的其他权利和义务</w:t>
      </w:r>
    </w:p>
    <w:p>
      <w:pPr>
        <w:pStyle w:val="13"/>
        <w:numPr>
          <w:ilvl w:val="0"/>
          <w:numId w:val="8"/>
        </w:numPr>
        <w:ind w:left="0" w:firstLine="560" w:firstLineChars="0"/>
        <w:rPr>
          <w:rFonts w:ascii="楷体" w:hAnsi="楷体" w:eastAsia="楷体"/>
          <w:color w:val="auto"/>
          <w:sz w:val="24"/>
        </w:rPr>
      </w:pPr>
      <w:r>
        <w:rPr>
          <w:rFonts w:ascii="楷体" w:hAnsi="楷体" w:eastAsia="楷体"/>
          <w:color w:val="auto"/>
          <w:sz w:val="24"/>
        </w:rPr>
        <w:t>受托人应</w:t>
      </w:r>
      <w:r>
        <w:rPr>
          <w:rFonts w:hint="eastAsia" w:ascii="楷体" w:hAnsi="楷体" w:eastAsia="楷体"/>
          <w:color w:val="auto"/>
          <w:sz w:val="24"/>
        </w:rPr>
        <w:t>遵守相关法律、行政法规和资产评估准则，对评估对象在评估基准日特定目的下的价值进行分析和估算并出具资产评估报告。</w:t>
      </w:r>
    </w:p>
    <w:p>
      <w:pPr>
        <w:pStyle w:val="13"/>
        <w:numPr>
          <w:ilvl w:val="0"/>
          <w:numId w:val="8"/>
        </w:numPr>
        <w:ind w:left="0" w:firstLine="560" w:firstLineChars="0"/>
        <w:rPr>
          <w:rFonts w:ascii="楷体" w:hAnsi="楷体" w:eastAsia="楷体"/>
          <w:color w:val="auto"/>
          <w:sz w:val="24"/>
        </w:rPr>
      </w:pPr>
      <w:r>
        <w:rPr>
          <w:rFonts w:hint="eastAsia" w:ascii="楷体" w:hAnsi="楷体" w:eastAsia="楷体"/>
          <w:color w:val="auto"/>
          <w:sz w:val="24"/>
        </w:rPr>
        <w:t>委托人和其他相关当事人如果拒绝提供或者不如实提供开展资产评估业务所需的权属证明、财务会计信息或者其他相关资料的，受托人有权拒绝履行资产评估委托合同。</w:t>
      </w:r>
    </w:p>
    <w:p>
      <w:pPr>
        <w:pStyle w:val="13"/>
        <w:numPr>
          <w:ilvl w:val="0"/>
          <w:numId w:val="8"/>
        </w:numPr>
        <w:ind w:left="0" w:firstLine="560" w:firstLineChars="0"/>
        <w:rPr>
          <w:rFonts w:ascii="楷体" w:hAnsi="楷体" w:eastAsia="楷体"/>
          <w:color w:val="auto"/>
          <w:sz w:val="24"/>
        </w:rPr>
      </w:pPr>
      <w:r>
        <w:rPr>
          <w:rFonts w:ascii="楷体" w:hAnsi="楷体" w:eastAsia="楷体"/>
          <w:color w:val="auto"/>
          <w:sz w:val="24"/>
        </w:rPr>
        <w:t>受托人应按照约定的时间完成资产评估业务，出具资产评估报告。若评估报告涉及中国政府部门（不限于国有资产监督管理委员会）的备案、核准或问答程序，受托人有义务积极配合、协助并按政府部门的要求提供相应文件。</w:t>
      </w:r>
    </w:p>
    <w:p>
      <w:pPr>
        <w:pStyle w:val="13"/>
        <w:numPr>
          <w:ilvl w:val="0"/>
          <w:numId w:val="8"/>
        </w:numPr>
        <w:ind w:left="0" w:firstLine="560" w:firstLineChars="0"/>
        <w:rPr>
          <w:rFonts w:ascii="楷体" w:hAnsi="楷体" w:eastAsia="楷体"/>
          <w:color w:val="auto"/>
          <w:sz w:val="24"/>
        </w:rPr>
      </w:pPr>
      <w:r>
        <w:rPr>
          <w:rFonts w:ascii="楷体" w:hAnsi="楷体" w:eastAsia="楷体"/>
          <w:color w:val="auto"/>
          <w:sz w:val="24"/>
        </w:rPr>
        <w:t>受托人在执行资产评估业务过程中，有义务接受委托人的询问并及时回复和提供相应文件。</w:t>
      </w:r>
    </w:p>
    <w:p>
      <w:pPr>
        <w:pStyle w:val="13"/>
        <w:numPr>
          <w:ilvl w:val="0"/>
          <w:numId w:val="8"/>
        </w:numPr>
        <w:ind w:left="0" w:firstLine="560" w:firstLineChars="0"/>
        <w:rPr>
          <w:rFonts w:ascii="楷体" w:hAnsi="楷体" w:eastAsia="楷体"/>
          <w:color w:val="auto"/>
          <w:sz w:val="24"/>
        </w:rPr>
      </w:pPr>
      <w:r>
        <w:rPr>
          <w:rFonts w:ascii="楷体" w:hAnsi="楷体" w:eastAsia="楷体"/>
          <w:color w:val="auto"/>
          <w:sz w:val="24"/>
        </w:rPr>
        <w:t>受托人派出具有足够经验的人员或团队完成评估工作。</w:t>
      </w:r>
    </w:p>
    <w:p>
      <w:pPr>
        <w:pStyle w:val="13"/>
        <w:numPr>
          <w:ilvl w:val="0"/>
          <w:numId w:val="8"/>
        </w:numPr>
        <w:ind w:left="0" w:firstLine="560" w:firstLineChars="0"/>
        <w:rPr>
          <w:rFonts w:ascii="楷体" w:hAnsi="楷体" w:eastAsia="楷体"/>
          <w:color w:val="auto"/>
          <w:sz w:val="24"/>
        </w:rPr>
      </w:pPr>
      <w:r>
        <w:rPr>
          <w:rFonts w:ascii="楷体" w:hAnsi="楷体" w:eastAsia="楷体"/>
          <w:color w:val="auto"/>
          <w:sz w:val="24"/>
        </w:rPr>
        <w:t>受托人对在执行业务过程中知悉的商业秘密和完成的评估报告，负有保密责任。除法律、法规另有规定外，未经委托人的书面许可，受托人不得将委托人</w:t>
      </w:r>
      <w:r>
        <w:rPr>
          <w:rFonts w:hint="eastAsia" w:ascii="楷体" w:hAnsi="楷体" w:eastAsia="楷体"/>
          <w:color w:val="auto"/>
          <w:sz w:val="24"/>
        </w:rPr>
        <w:t>或</w:t>
      </w:r>
      <w:r>
        <w:rPr>
          <w:rFonts w:ascii="楷体" w:hAnsi="楷体" w:eastAsia="楷体"/>
          <w:color w:val="auto"/>
          <w:sz w:val="24"/>
        </w:rPr>
        <w:t>被评估</w:t>
      </w:r>
      <w:r>
        <w:rPr>
          <w:rFonts w:hint="eastAsia" w:ascii="楷体" w:hAnsi="楷体" w:eastAsia="楷体"/>
          <w:color w:val="auto"/>
          <w:sz w:val="24"/>
        </w:rPr>
        <w:t>方</w:t>
      </w:r>
      <w:r>
        <w:rPr>
          <w:rFonts w:ascii="楷体" w:hAnsi="楷体" w:eastAsia="楷体"/>
          <w:color w:val="auto"/>
          <w:sz w:val="24"/>
        </w:rPr>
        <w:t>提供的资料或评估报告的内容提供给第三方或公开。</w:t>
      </w:r>
    </w:p>
    <w:p>
      <w:pPr>
        <w:pStyle w:val="13"/>
        <w:numPr>
          <w:ilvl w:val="0"/>
          <w:numId w:val="8"/>
        </w:numPr>
        <w:ind w:left="0" w:firstLine="560" w:firstLineChars="0"/>
        <w:rPr>
          <w:rFonts w:ascii="楷体" w:hAnsi="楷体" w:eastAsia="楷体"/>
          <w:color w:val="auto"/>
          <w:sz w:val="24"/>
        </w:rPr>
      </w:pPr>
      <w:r>
        <w:rPr>
          <w:rFonts w:ascii="楷体" w:hAnsi="楷体" w:eastAsia="楷体"/>
          <w:color w:val="auto"/>
          <w:sz w:val="24"/>
        </w:rPr>
        <w:t>受托人有依约按期收取评估服务费的权利。</w:t>
      </w:r>
    </w:p>
    <w:p>
      <w:pPr>
        <w:ind w:firstLine="560"/>
        <w:rPr>
          <w:rFonts w:ascii="楷体" w:hAnsi="楷体" w:eastAsia="楷体"/>
          <w:color w:val="auto"/>
          <w:sz w:val="24"/>
        </w:rPr>
      </w:pPr>
    </w:p>
    <w:p>
      <w:pPr>
        <w:pStyle w:val="13"/>
        <w:numPr>
          <w:ilvl w:val="0"/>
          <w:numId w:val="1"/>
        </w:numPr>
        <w:ind w:firstLineChars="0"/>
        <w:rPr>
          <w:rFonts w:ascii="楷体" w:hAnsi="楷体" w:eastAsia="楷体"/>
          <w:b/>
          <w:color w:val="auto"/>
          <w:sz w:val="24"/>
        </w:rPr>
      </w:pPr>
      <w:r>
        <w:rPr>
          <w:rFonts w:hint="eastAsia" w:ascii="楷体" w:hAnsi="楷体" w:eastAsia="楷体"/>
          <w:b/>
          <w:color w:val="auto"/>
          <w:sz w:val="24"/>
        </w:rPr>
        <w:t>合同</w:t>
      </w:r>
      <w:r>
        <w:rPr>
          <w:rFonts w:ascii="楷体" w:hAnsi="楷体" w:eastAsia="楷体"/>
          <w:b/>
          <w:color w:val="auto"/>
          <w:sz w:val="24"/>
        </w:rPr>
        <w:t>的履行、变更、中止和解除</w:t>
      </w:r>
    </w:p>
    <w:p>
      <w:pPr>
        <w:pStyle w:val="13"/>
        <w:numPr>
          <w:ilvl w:val="0"/>
          <w:numId w:val="9"/>
        </w:numPr>
        <w:ind w:left="0" w:firstLine="560" w:firstLineChars="0"/>
        <w:rPr>
          <w:rFonts w:ascii="楷体" w:hAnsi="楷体" w:eastAsia="楷体"/>
          <w:color w:val="auto"/>
          <w:sz w:val="24"/>
        </w:rPr>
      </w:pPr>
      <w:r>
        <w:rPr>
          <w:rFonts w:hint="eastAsia" w:ascii="楷体" w:hAnsi="楷体" w:eastAsia="楷体"/>
          <w:color w:val="auto"/>
          <w:sz w:val="24"/>
        </w:rPr>
        <w:t>双</w:t>
      </w:r>
      <w:r>
        <w:rPr>
          <w:rFonts w:ascii="楷体" w:hAnsi="楷体" w:eastAsia="楷体"/>
          <w:color w:val="auto"/>
          <w:sz w:val="24"/>
        </w:rPr>
        <w:t>方应当按照合同全面履行义务。</w:t>
      </w:r>
    </w:p>
    <w:p>
      <w:pPr>
        <w:pStyle w:val="13"/>
        <w:numPr>
          <w:ilvl w:val="0"/>
          <w:numId w:val="9"/>
        </w:numPr>
        <w:ind w:left="0" w:firstLine="560" w:firstLineChars="0"/>
        <w:rPr>
          <w:rFonts w:ascii="楷体" w:hAnsi="楷体" w:eastAsia="楷体"/>
          <w:color w:val="auto"/>
          <w:sz w:val="24"/>
        </w:rPr>
      </w:pPr>
      <w:r>
        <w:rPr>
          <w:rFonts w:hint="eastAsia" w:ascii="楷体" w:hAnsi="楷体" w:eastAsia="楷体"/>
          <w:color w:val="auto"/>
          <w:sz w:val="24"/>
        </w:rPr>
        <w:t>合同订立后发现相关事项存在遗漏、约定不明确，或者在合同履行中约定内容发生变化的，受托人可以要求与委托人订立补充合同或者重新订立合同，或者以法律允许的其他方式对合同的相关条款进行变更。</w:t>
      </w:r>
    </w:p>
    <w:p>
      <w:pPr>
        <w:pStyle w:val="13"/>
        <w:numPr>
          <w:ilvl w:val="0"/>
          <w:numId w:val="9"/>
        </w:numPr>
        <w:ind w:left="0" w:firstLine="560" w:firstLineChars="0"/>
        <w:rPr>
          <w:rFonts w:ascii="楷体" w:hAnsi="楷体" w:eastAsia="楷体"/>
          <w:color w:val="auto"/>
          <w:sz w:val="24"/>
        </w:rPr>
      </w:pPr>
      <w:r>
        <w:rPr>
          <w:rFonts w:hint="eastAsia" w:ascii="楷体" w:hAnsi="楷体" w:eastAsia="楷体"/>
          <w:color w:val="auto"/>
          <w:sz w:val="24"/>
        </w:rPr>
        <w:t>委托人要求出具虚假资产评估报告或者有其他非法干预评估结论情形的，受托人有权单方解除资产评估委托合同。</w:t>
      </w:r>
    </w:p>
    <w:p>
      <w:pPr>
        <w:pStyle w:val="13"/>
        <w:numPr>
          <w:ilvl w:val="0"/>
          <w:numId w:val="9"/>
        </w:numPr>
        <w:ind w:left="0" w:firstLine="560" w:firstLineChars="0"/>
        <w:rPr>
          <w:rFonts w:ascii="楷体" w:hAnsi="楷体" w:eastAsia="楷体"/>
          <w:color w:val="auto"/>
          <w:sz w:val="24"/>
        </w:rPr>
      </w:pPr>
      <w:r>
        <w:rPr>
          <w:rFonts w:ascii="楷体" w:hAnsi="楷体" w:eastAsia="楷体"/>
          <w:color w:val="auto"/>
          <w:sz w:val="24"/>
        </w:rPr>
        <w:t>如果受托人资产评估师在执行评估业务过程中受到限制，无法完整实施评估计划、执行评估程序，且所受限制对评估结论和评估目的所对应的经济行为构成重大影响，注册资产评估师采取必要措施仍无法确信评估结论合理性不受影响，受托人可以中止履行合同，并及时以书面形式通知委托人。</w:t>
      </w:r>
    </w:p>
    <w:p>
      <w:pPr>
        <w:ind w:firstLine="480" w:firstLineChars="200"/>
        <w:rPr>
          <w:rFonts w:ascii="楷体" w:hAnsi="楷体" w:eastAsia="楷体"/>
          <w:color w:val="auto"/>
          <w:kern w:val="144"/>
          <w:sz w:val="24"/>
        </w:rPr>
      </w:pPr>
      <w:r>
        <w:rPr>
          <w:rFonts w:ascii="楷体" w:hAnsi="楷体" w:eastAsia="楷体"/>
          <w:color w:val="auto"/>
          <w:kern w:val="144"/>
          <w:sz w:val="24"/>
        </w:rPr>
        <w:t>如委托人在</w:t>
      </w:r>
      <w:r>
        <w:rPr>
          <w:rFonts w:ascii="楷体" w:hAnsi="楷体" w:eastAsia="楷体"/>
          <w:color w:val="auto"/>
          <w:kern w:val="144"/>
          <w:sz w:val="24"/>
          <w:u w:val="single"/>
        </w:rPr>
        <w:t xml:space="preserve"> 30 </w:t>
      </w:r>
      <w:r>
        <w:rPr>
          <w:rFonts w:ascii="楷体" w:hAnsi="楷体" w:eastAsia="楷体"/>
          <w:color w:val="auto"/>
          <w:kern w:val="144"/>
          <w:sz w:val="24"/>
        </w:rPr>
        <w:t>天的合理期限内能排除限制，并及时以书面形式通知受托人，双方应当继续履行约定，并根据排除限制后的实际情况变更及签订补充协议；</w:t>
      </w:r>
    </w:p>
    <w:p>
      <w:pPr>
        <w:ind w:firstLine="480" w:firstLineChars="200"/>
        <w:rPr>
          <w:rFonts w:ascii="楷体" w:hAnsi="楷体" w:eastAsia="楷体"/>
          <w:color w:val="auto"/>
          <w:kern w:val="144"/>
          <w:sz w:val="24"/>
        </w:rPr>
      </w:pPr>
      <w:r>
        <w:rPr>
          <w:rFonts w:ascii="楷体" w:hAnsi="楷体" w:eastAsia="楷体"/>
          <w:color w:val="auto"/>
          <w:kern w:val="144"/>
          <w:sz w:val="24"/>
        </w:rPr>
        <w:t>如委托人未能在上述期限内排除限制，双方应当解除评估</w:t>
      </w:r>
      <w:r>
        <w:rPr>
          <w:rFonts w:hint="eastAsia" w:ascii="楷体" w:hAnsi="楷体" w:eastAsia="楷体"/>
          <w:color w:val="auto"/>
          <w:kern w:val="144"/>
          <w:sz w:val="24"/>
        </w:rPr>
        <w:t>合同</w:t>
      </w:r>
      <w:r>
        <w:rPr>
          <w:rFonts w:ascii="楷体" w:hAnsi="楷体" w:eastAsia="楷体"/>
          <w:color w:val="auto"/>
          <w:kern w:val="144"/>
          <w:sz w:val="24"/>
        </w:rPr>
        <w:t>。</w:t>
      </w:r>
    </w:p>
    <w:p>
      <w:pPr>
        <w:pStyle w:val="13"/>
        <w:numPr>
          <w:ilvl w:val="0"/>
          <w:numId w:val="9"/>
        </w:numPr>
        <w:ind w:left="0" w:firstLine="560" w:firstLineChars="0"/>
        <w:rPr>
          <w:rFonts w:ascii="楷体" w:hAnsi="楷体" w:eastAsia="楷体"/>
          <w:color w:val="auto"/>
          <w:sz w:val="24"/>
        </w:rPr>
      </w:pPr>
      <w:r>
        <w:rPr>
          <w:rFonts w:ascii="楷体" w:hAnsi="楷体" w:eastAsia="楷体"/>
          <w:color w:val="auto"/>
          <w:sz w:val="24"/>
        </w:rPr>
        <w:t>评估合同解除后，委托人和受托人可以根据</w:t>
      </w:r>
      <w:r>
        <w:rPr>
          <w:rFonts w:ascii="楷体" w:hAnsi="楷体" w:eastAsia="楷体"/>
          <w:color w:val="auto"/>
          <w:kern w:val="144"/>
          <w:sz w:val="24"/>
        </w:rPr>
        <w:t>双方</w:t>
      </w:r>
      <w:r>
        <w:rPr>
          <w:rFonts w:ascii="楷体" w:hAnsi="楷体" w:eastAsia="楷体"/>
          <w:color w:val="auto"/>
          <w:sz w:val="24"/>
        </w:rPr>
        <w:t>责任、已投入的工作量和工作进度，确定评估服务费收取或退回比例或金额；同时受托人应该妥善处理已经取得的相关评估资料</w:t>
      </w:r>
      <w:r>
        <w:rPr>
          <w:rFonts w:hint="eastAsia" w:ascii="楷体" w:hAnsi="楷体" w:eastAsia="楷体"/>
          <w:color w:val="auto"/>
          <w:kern w:val="144"/>
          <w:sz w:val="24"/>
        </w:rPr>
        <w:t>。</w:t>
      </w:r>
      <w:r>
        <w:rPr>
          <w:rFonts w:hint="eastAsia" w:ascii="楷体" w:hAnsi="楷体" w:eastAsia="楷体"/>
          <w:color w:val="auto"/>
          <w:sz w:val="24"/>
        </w:rPr>
        <w:t>当受托人提交评估报告征求意见稿一个月时间内，由于委托人原因不出具正式评估报告的，委托人按合同约定的全部评估费用支付给受托人。</w:t>
      </w:r>
    </w:p>
    <w:p>
      <w:pPr>
        <w:pStyle w:val="13"/>
        <w:ind w:left="560" w:firstLine="0" w:firstLineChars="0"/>
        <w:rPr>
          <w:rFonts w:ascii="楷体" w:hAnsi="楷体" w:eastAsia="楷体"/>
          <w:color w:val="auto"/>
          <w:sz w:val="24"/>
        </w:rPr>
      </w:pPr>
    </w:p>
    <w:p>
      <w:pPr>
        <w:pStyle w:val="13"/>
        <w:numPr>
          <w:ilvl w:val="0"/>
          <w:numId w:val="1"/>
        </w:numPr>
        <w:ind w:firstLineChars="0"/>
        <w:rPr>
          <w:rFonts w:ascii="楷体" w:hAnsi="楷体" w:eastAsia="楷体"/>
          <w:b/>
          <w:color w:val="auto"/>
          <w:sz w:val="24"/>
        </w:rPr>
      </w:pPr>
      <w:r>
        <w:rPr>
          <w:rFonts w:ascii="楷体" w:hAnsi="楷体" w:eastAsia="楷体"/>
          <w:b/>
          <w:color w:val="auto"/>
          <w:sz w:val="24"/>
        </w:rPr>
        <w:t>违约责任和争议解决</w:t>
      </w:r>
    </w:p>
    <w:p>
      <w:pPr>
        <w:ind w:firstLine="240" w:firstLineChars="100"/>
        <w:rPr>
          <w:rFonts w:ascii="楷体" w:hAnsi="楷体" w:eastAsia="楷体"/>
          <w:color w:val="auto"/>
          <w:kern w:val="144"/>
          <w:sz w:val="24"/>
        </w:rPr>
      </w:pPr>
      <w:r>
        <w:rPr>
          <w:rFonts w:ascii="楷体" w:hAnsi="楷体" w:eastAsia="楷体"/>
          <w:color w:val="auto"/>
          <w:kern w:val="144"/>
          <w:sz w:val="24"/>
        </w:rPr>
        <w:t>（一）签约</w:t>
      </w:r>
      <w:r>
        <w:rPr>
          <w:rFonts w:hint="eastAsia" w:ascii="楷体" w:hAnsi="楷体" w:eastAsia="楷体"/>
          <w:color w:val="auto"/>
          <w:kern w:val="144"/>
          <w:sz w:val="24"/>
        </w:rPr>
        <w:t>双方</w:t>
      </w:r>
      <w:r>
        <w:rPr>
          <w:rFonts w:ascii="楷体" w:hAnsi="楷体" w:eastAsia="楷体"/>
          <w:color w:val="auto"/>
          <w:kern w:val="144"/>
          <w:sz w:val="24"/>
        </w:rPr>
        <w:t>的任何一方不履行</w:t>
      </w:r>
      <w:r>
        <w:rPr>
          <w:rFonts w:hint="eastAsia" w:ascii="楷体" w:hAnsi="楷体" w:eastAsia="楷体"/>
          <w:color w:val="auto"/>
          <w:kern w:val="144"/>
          <w:sz w:val="24"/>
        </w:rPr>
        <w:t>合同</w:t>
      </w:r>
      <w:r>
        <w:rPr>
          <w:rFonts w:ascii="楷体" w:hAnsi="楷体" w:eastAsia="楷体"/>
          <w:color w:val="auto"/>
          <w:kern w:val="144"/>
          <w:sz w:val="24"/>
        </w:rPr>
        <w:t>义务或履行义务不符合约定的，应当按照约定承担继续履行、采取补救措施或者赔偿损失等违约责任。</w:t>
      </w:r>
    </w:p>
    <w:p>
      <w:pPr>
        <w:ind w:firstLine="240" w:firstLineChars="100"/>
        <w:rPr>
          <w:rFonts w:ascii="楷体" w:hAnsi="楷体" w:eastAsia="楷体"/>
          <w:color w:val="auto"/>
          <w:kern w:val="144"/>
          <w:sz w:val="24"/>
        </w:rPr>
      </w:pPr>
      <w:r>
        <w:rPr>
          <w:rFonts w:ascii="楷体" w:hAnsi="楷体" w:eastAsia="楷体"/>
          <w:color w:val="auto"/>
          <w:kern w:val="144"/>
          <w:sz w:val="24"/>
        </w:rPr>
        <w:t>（二）签约</w:t>
      </w:r>
      <w:r>
        <w:rPr>
          <w:rFonts w:hint="eastAsia" w:ascii="楷体" w:hAnsi="楷体" w:eastAsia="楷体"/>
          <w:color w:val="auto"/>
          <w:kern w:val="144"/>
          <w:sz w:val="24"/>
        </w:rPr>
        <w:t>双方</w:t>
      </w:r>
      <w:r>
        <w:rPr>
          <w:rFonts w:ascii="楷体" w:hAnsi="楷体" w:eastAsia="楷体"/>
          <w:color w:val="auto"/>
          <w:kern w:val="144"/>
          <w:sz w:val="24"/>
        </w:rPr>
        <w:t>的任何一方因不可抗力无法履行合同的，应当根据不可抗力的影响,部分或者全部免除责任，法律另有规定的除外。</w:t>
      </w:r>
    </w:p>
    <w:p>
      <w:pPr>
        <w:ind w:firstLine="240" w:firstLineChars="100"/>
        <w:rPr>
          <w:rFonts w:ascii="楷体" w:hAnsi="楷体" w:eastAsia="楷体"/>
          <w:color w:val="auto"/>
          <w:kern w:val="144"/>
          <w:sz w:val="24"/>
        </w:rPr>
      </w:pPr>
      <w:r>
        <w:rPr>
          <w:rFonts w:ascii="楷体" w:hAnsi="楷体" w:eastAsia="楷体"/>
          <w:color w:val="auto"/>
          <w:kern w:val="144"/>
          <w:sz w:val="24"/>
        </w:rPr>
        <w:t>（</w:t>
      </w:r>
      <w:r>
        <w:rPr>
          <w:rFonts w:hint="eastAsia" w:ascii="楷体" w:hAnsi="楷体" w:eastAsia="楷体"/>
          <w:color w:val="auto"/>
          <w:kern w:val="144"/>
          <w:sz w:val="24"/>
        </w:rPr>
        <w:t>三</w:t>
      </w:r>
      <w:r>
        <w:rPr>
          <w:rFonts w:ascii="楷体" w:hAnsi="楷体" w:eastAsia="楷体"/>
          <w:color w:val="auto"/>
          <w:kern w:val="144"/>
          <w:sz w:val="24"/>
        </w:rPr>
        <w:t>）如</w:t>
      </w:r>
      <w:r>
        <w:rPr>
          <w:rFonts w:hint="eastAsia" w:ascii="楷体" w:hAnsi="楷体" w:eastAsia="楷体"/>
          <w:color w:val="auto"/>
          <w:kern w:val="144"/>
          <w:sz w:val="24"/>
        </w:rPr>
        <w:t>双方</w:t>
      </w:r>
      <w:r>
        <w:rPr>
          <w:rFonts w:ascii="楷体" w:hAnsi="楷体" w:eastAsia="楷体"/>
          <w:color w:val="auto"/>
          <w:kern w:val="144"/>
          <w:sz w:val="24"/>
        </w:rPr>
        <w:t>发生争议，应本着友好协商的方式解决。因本约定书引起或与本约定书有关的所有争议</w:t>
      </w:r>
      <w:r>
        <w:rPr>
          <w:rFonts w:hint="eastAsia" w:ascii="楷体" w:hAnsi="楷体" w:eastAsia="楷体"/>
          <w:color w:val="auto"/>
          <w:kern w:val="144"/>
          <w:sz w:val="24"/>
        </w:rPr>
        <w:t>可以通过向受托方所在地人民法院提起诉讼解决。</w:t>
      </w:r>
    </w:p>
    <w:p>
      <w:pPr>
        <w:ind w:firstLine="480" w:firstLineChars="200"/>
        <w:rPr>
          <w:rFonts w:ascii="楷体" w:hAnsi="楷体" w:eastAsia="楷体"/>
          <w:color w:val="auto"/>
          <w:kern w:val="144"/>
          <w:sz w:val="24"/>
        </w:rPr>
      </w:pPr>
    </w:p>
    <w:p>
      <w:pPr>
        <w:pStyle w:val="13"/>
        <w:numPr>
          <w:ilvl w:val="0"/>
          <w:numId w:val="1"/>
        </w:numPr>
        <w:ind w:firstLineChars="0"/>
        <w:rPr>
          <w:rFonts w:ascii="楷体" w:hAnsi="楷体" w:eastAsia="楷体"/>
          <w:b/>
          <w:color w:val="auto"/>
          <w:sz w:val="24"/>
        </w:rPr>
      </w:pPr>
      <w:r>
        <w:rPr>
          <w:rFonts w:ascii="楷体" w:hAnsi="楷体" w:eastAsia="楷体"/>
          <w:b/>
          <w:color w:val="auto"/>
          <w:sz w:val="24"/>
        </w:rPr>
        <w:t>合同的生效和期限</w:t>
      </w:r>
    </w:p>
    <w:p>
      <w:pPr>
        <w:ind w:firstLine="240" w:firstLineChars="100"/>
        <w:rPr>
          <w:rFonts w:ascii="楷体" w:hAnsi="楷体" w:eastAsia="楷体"/>
          <w:color w:val="auto"/>
          <w:kern w:val="144"/>
          <w:sz w:val="24"/>
        </w:rPr>
      </w:pPr>
      <w:r>
        <w:rPr>
          <w:rFonts w:ascii="楷体" w:hAnsi="楷体" w:eastAsia="楷体"/>
          <w:color w:val="auto"/>
          <w:kern w:val="144"/>
          <w:sz w:val="24"/>
        </w:rPr>
        <w:t>（一）本合同一式</w:t>
      </w:r>
      <w:r>
        <w:rPr>
          <w:rFonts w:hint="eastAsia" w:ascii="楷体" w:hAnsi="楷体" w:eastAsia="楷体"/>
          <w:color w:val="auto"/>
          <w:kern w:val="144"/>
          <w:sz w:val="24"/>
        </w:rPr>
        <w:t>两</w:t>
      </w:r>
      <w:r>
        <w:rPr>
          <w:rFonts w:ascii="楷体" w:hAnsi="楷体" w:eastAsia="楷体"/>
          <w:color w:val="auto"/>
          <w:kern w:val="144"/>
          <w:sz w:val="24"/>
        </w:rPr>
        <w:t>份，经</w:t>
      </w:r>
      <w:r>
        <w:rPr>
          <w:rFonts w:hint="eastAsia" w:ascii="楷体" w:hAnsi="楷体" w:eastAsia="楷体"/>
          <w:color w:val="auto"/>
          <w:kern w:val="144"/>
          <w:sz w:val="24"/>
        </w:rPr>
        <w:t>双</w:t>
      </w:r>
      <w:r>
        <w:rPr>
          <w:rFonts w:ascii="楷体" w:hAnsi="楷体" w:eastAsia="楷体"/>
          <w:color w:val="auto"/>
          <w:kern w:val="144"/>
          <w:sz w:val="24"/>
        </w:rPr>
        <w:t>方盖章、签字后生效，双方各执一份。</w:t>
      </w:r>
    </w:p>
    <w:p>
      <w:pPr>
        <w:ind w:firstLine="240" w:firstLineChars="100"/>
        <w:rPr>
          <w:rFonts w:ascii="楷体" w:hAnsi="楷体" w:eastAsia="楷体"/>
          <w:color w:val="auto"/>
          <w:kern w:val="144"/>
          <w:sz w:val="24"/>
        </w:rPr>
      </w:pPr>
      <w:r>
        <w:rPr>
          <w:rFonts w:ascii="楷体" w:hAnsi="楷体" w:eastAsia="楷体"/>
          <w:color w:val="auto"/>
          <w:kern w:val="144"/>
          <w:sz w:val="24"/>
        </w:rPr>
        <w:t>（二）本合同履行完毕或解除，所规定的</w:t>
      </w:r>
      <w:r>
        <w:rPr>
          <w:rFonts w:hint="eastAsia" w:ascii="楷体" w:hAnsi="楷体" w:eastAsia="楷体"/>
          <w:color w:val="auto"/>
          <w:kern w:val="144"/>
          <w:sz w:val="24"/>
        </w:rPr>
        <w:t>双</w:t>
      </w:r>
      <w:r>
        <w:rPr>
          <w:rFonts w:ascii="楷体" w:hAnsi="楷体" w:eastAsia="楷体"/>
          <w:color w:val="auto"/>
          <w:kern w:val="144"/>
          <w:sz w:val="24"/>
        </w:rPr>
        <w:t>方权利和义务自行终止。</w:t>
      </w:r>
    </w:p>
    <w:p>
      <w:pPr>
        <w:ind w:firstLine="420" w:firstLineChars="200"/>
        <w:rPr>
          <w:rFonts w:ascii="楷体" w:hAnsi="楷体" w:eastAsia="楷体"/>
          <w:color w:val="auto"/>
          <w:kern w:val="144"/>
          <w:szCs w:val="21"/>
        </w:rPr>
      </w:pPr>
    </w:p>
    <w:p>
      <w:pPr>
        <w:ind w:firstLine="420" w:firstLineChars="200"/>
        <w:rPr>
          <w:rFonts w:ascii="楷体" w:hAnsi="楷体" w:eastAsia="楷体"/>
          <w:color w:val="auto"/>
          <w:kern w:val="144"/>
          <w:szCs w:val="21"/>
        </w:rPr>
      </w:pPr>
    </w:p>
    <w:p>
      <w:pPr>
        <w:ind w:firstLine="420" w:firstLineChars="200"/>
        <w:rPr>
          <w:rFonts w:ascii="楷体" w:hAnsi="楷体" w:eastAsia="楷体"/>
          <w:color w:val="auto"/>
          <w:kern w:val="144"/>
          <w:szCs w:val="21"/>
        </w:rPr>
      </w:pPr>
    </w:p>
    <w:p>
      <w:pPr>
        <w:rPr>
          <w:rFonts w:ascii="楷体" w:hAnsi="楷体" w:eastAsia="楷体"/>
          <w:color w:val="auto"/>
          <w:kern w:val="144"/>
          <w:sz w:val="24"/>
        </w:rPr>
      </w:pPr>
      <w:r>
        <w:rPr>
          <w:rFonts w:hint="eastAsia" w:ascii="楷体" w:hAnsi="楷体" w:eastAsia="楷体"/>
          <w:color w:val="auto"/>
          <w:kern w:val="144"/>
          <w:sz w:val="24"/>
        </w:rPr>
        <w:t>（以下部分无正文，为合同签字盖章页）</w:t>
      </w:r>
    </w:p>
    <w:p>
      <w:pPr>
        <w:rPr>
          <w:rFonts w:ascii="楷体" w:hAnsi="楷体" w:eastAsia="楷体"/>
          <w:color w:val="auto"/>
          <w:kern w:val="144"/>
          <w:sz w:val="24"/>
        </w:rPr>
      </w:pPr>
    </w:p>
    <w:p>
      <w:pPr>
        <w:rPr>
          <w:rFonts w:ascii="楷体" w:hAnsi="楷体" w:eastAsia="楷体"/>
          <w:color w:val="auto"/>
          <w:sz w:val="24"/>
        </w:rPr>
      </w:pPr>
    </w:p>
    <w:p>
      <w:pPr>
        <w:rPr>
          <w:rFonts w:ascii="楷体" w:hAnsi="楷体" w:eastAsia="楷体"/>
          <w:color w:val="auto"/>
          <w:sz w:val="24"/>
        </w:rPr>
      </w:pPr>
    </w:p>
    <w:p>
      <w:pPr>
        <w:rPr>
          <w:rFonts w:ascii="楷体" w:hAnsi="楷体" w:eastAsia="楷体"/>
          <w:color w:val="auto"/>
          <w:sz w:val="24"/>
        </w:rPr>
      </w:pPr>
    </w:p>
    <w:p>
      <w:pPr>
        <w:rPr>
          <w:rFonts w:ascii="楷体" w:hAnsi="楷体" w:eastAsia="楷体"/>
          <w:color w:val="auto"/>
          <w:sz w:val="24"/>
        </w:rPr>
      </w:pPr>
    </w:p>
    <w:p>
      <w:pPr>
        <w:rPr>
          <w:rFonts w:ascii="楷体" w:hAnsi="楷体" w:eastAsia="楷体"/>
          <w:color w:val="auto"/>
          <w:sz w:val="24"/>
        </w:rPr>
      </w:pPr>
      <w:r>
        <w:rPr>
          <w:rFonts w:ascii="楷体" w:hAnsi="楷体" w:eastAsia="楷体"/>
          <w:color w:val="auto"/>
          <w:sz w:val="24"/>
        </w:rPr>
        <w:t xml:space="preserve">委托人：（盖章）                </w:t>
      </w:r>
      <w:r>
        <w:rPr>
          <w:rFonts w:hint="eastAsia" w:ascii="楷体" w:hAnsi="楷体" w:eastAsia="楷体"/>
          <w:color w:val="auto"/>
          <w:sz w:val="24"/>
        </w:rPr>
        <w:t xml:space="preserve">   </w:t>
      </w:r>
      <w:r>
        <w:rPr>
          <w:rFonts w:ascii="楷体" w:hAnsi="楷体" w:eastAsia="楷体"/>
          <w:color w:val="auto"/>
          <w:sz w:val="24"/>
        </w:rPr>
        <w:t xml:space="preserve"> </w:t>
      </w:r>
      <w:r>
        <w:rPr>
          <w:rFonts w:hint="eastAsia" w:ascii="楷体" w:hAnsi="楷体" w:eastAsia="楷体"/>
          <w:color w:val="auto"/>
          <w:sz w:val="24"/>
        </w:rPr>
        <w:t xml:space="preserve">      </w:t>
      </w:r>
      <w:r>
        <w:rPr>
          <w:rFonts w:ascii="楷体" w:hAnsi="楷体" w:eastAsia="楷体"/>
          <w:color w:val="auto"/>
          <w:sz w:val="24"/>
        </w:rPr>
        <w:t>受托人：（盖章）</w:t>
      </w:r>
    </w:p>
    <w:p>
      <w:pPr>
        <w:rPr>
          <w:rFonts w:ascii="楷体" w:hAnsi="楷体" w:eastAsia="楷体"/>
          <w:color w:val="auto"/>
          <w:sz w:val="24"/>
        </w:rPr>
      </w:pPr>
    </w:p>
    <w:p>
      <w:pPr>
        <w:rPr>
          <w:rFonts w:ascii="楷体" w:hAnsi="楷体" w:eastAsia="楷体"/>
          <w:color w:val="auto"/>
          <w:sz w:val="24"/>
        </w:rPr>
      </w:pPr>
    </w:p>
    <w:p>
      <w:pPr>
        <w:rPr>
          <w:rFonts w:ascii="楷体" w:hAnsi="楷体" w:eastAsia="楷体"/>
          <w:color w:val="auto"/>
          <w:sz w:val="24"/>
        </w:rPr>
      </w:pPr>
    </w:p>
    <w:p>
      <w:pPr>
        <w:ind w:right="545"/>
        <w:jc w:val="left"/>
        <w:rPr>
          <w:rFonts w:ascii="楷体" w:hAnsi="楷体" w:eastAsia="楷体"/>
          <w:color w:val="auto"/>
          <w:sz w:val="24"/>
        </w:rPr>
      </w:pPr>
      <w:r>
        <w:rPr>
          <w:rFonts w:hint="eastAsia" w:ascii="楷体" w:hAnsi="楷体" w:eastAsia="楷体"/>
          <w:color w:val="auto"/>
          <w:sz w:val="24"/>
          <w:lang w:eastAsia="zh-CN"/>
        </w:rPr>
        <w:t>北京光华荣昌汽车部件有限公司</w:t>
      </w:r>
      <w:r>
        <w:rPr>
          <w:rFonts w:ascii="楷体" w:hAnsi="楷体" w:eastAsia="楷体"/>
          <w:color w:val="auto"/>
          <w:sz w:val="24"/>
        </w:rPr>
        <w:tab/>
      </w:r>
      <w:r>
        <w:rPr>
          <w:rFonts w:hint="eastAsia" w:ascii="楷体" w:hAnsi="楷体" w:eastAsia="楷体"/>
          <w:color w:val="auto"/>
          <w:sz w:val="24"/>
        </w:rPr>
        <w:t xml:space="preserve">         </w:t>
      </w:r>
      <w:r>
        <w:rPr>
          <w:rFonts w:ascii="楷体" w:hAnsi="楷体" w:eastAsia="楷体"/>
          <w:color w:val="auto"/>
          <w:sz w:val="24"/>
        </w:rPr>
        <w:t xml:space="preserve">    银信资产评估有限公司</w:t>
      </w:r>
    </w:p>
    <w:p>
      <w:pPr>
        <w:ind w:right="560"/>
        <w:rPr>
          <w:rFonts w:ascii="楷体" w:hAnsi="楷体" w:eastAsia="楷体"/>
          <w:color w:val="auto"/>
          <w:sz w:val="24"/>
        </w:rPr>
      </w:pPr>
    </w:p>
    <w:p>
      <w:pPr>
        <w:ind w:right="560"/>
        <w:rPr>
          <w:rFonts w:ascii="楷体" w:hAnsi="楷体" w:eastAsia="楷体"/>
          <w:color w:val="auto"/>
          <w:sz w:val="24"/>
        </w:rPr>
      </w:pPr>
    </w:p>
    <w:p>
      <w:pPr>
        <w:ind w:right="560"/>
        <w:rPr>
          <w:rFonts w:ascii="楷体" w:hAnsi="楷体" w:eastAsia="楷体"/>
          <w:color w:val="auto"/>
          <w:sz w:val="24"/>
        </w:rPr>
      </w:pPr>
    </w:p>
    <w:p>
      <w:pPr>
        <w:ind w:right="560"/>
        <w:rPr>
          <w:rFonts w:ascii="楷体" w:hAnsi="楷体" w:eastAsia="楷体"/>
          <w:color w:val="auto"/>
          <w:sz w:val="24"/>
        </w:rPr>
      </w:pPr>
      <w:r>
        <w:rPr>
          <w:rFonts w:ascii="楷体" w:hAnsi="楷体" w:eastAsia="楷体"/>
          <w:color w:val="auto"/>
          <w:sz w:val="24"/>
        </w:rPr>
        <w:t xml:space="preserve">法定代表人：                    </w:t>
      </w:r>
      <w:r>
        <w:rPr>
          <w:rFonts w:hint="eastAsia" w:ascii="楷体" w:hAnsi="楷体" w:eastAsia="楷体"/>
          <w:color w:val="auto"/>
          <w:sz w:val="24"/>
        </w:rPr>
        <w:t xml:space="preserve">         </w:t>
      </w:r>
      <w:r>
        <w:rPr>
          <w:rFonts w:ascii="楷体" w:hAnsi="楷体" w:eastAsia="楷体"/>
          <w:color w:val="auto"/>
          <w:sz w:val="24"/>
        </w:rPr>
        <w:t xml:space="preserve">法定代表人： </w:t>
      </w:r>
    </w:p>
    <w:p>
      <w:pPr>
        <w:ind w:right="560"/>
        <w:rPr>
          <w:rFonts w:ascii="楷体" w:hAnsi="楷体" w:eastAsia="楷体"/>
          <w:color w:val="auto"/>
          <w:sz w:val="24"/>
        </w:rPr>
      </w:pPr>
    </w:p>
    <w:p>
      <w:pPr>
        <w:ind w:right="560"/>
        <w:rPr>
          <w:rFonts w:ascii="楷体" w:hAnsi="楷体" w:eastAsia="楷体"/>
          <w:color w:val="auto"/>
          <w:sz w:val="24"/>
        </w:rPr>
      </w:pPr>
    </w:p>
    <w:p>
      <w:pPr>
        <w:ind w:right="560"/>
        <w:rPr>
          <w:rFonts w:ascii="楷体" w:hAnsi="楷体" w:eastAsia="楷体"/>
          <w:color w:val="auto"/>
          <w:sz w:val="24"/>
        </w:rPr>
      </w:pPr>
    </w:p>
    <w:p>
      <w:pPr>
        <w:ind w:right="560"/>
        <w:rPr>
          <w:rFonts w:ascii="楷体" w:hAnsi="楷体" w:eastAsia="楷体"/>
          <w:color w:val="auto"/>
          <w:sz w:val="24"/>
        </w:rPr>
      </w:pPr>
      <w:r>
        <w:rPr>
          <w:rFonts w:hint="eastAsia" w:ascii="楷体" w:hAnsi="楷体" w:eastAsia="楷体"/>
          <w:color w:val="auto"/>
          <w:sz w:val="24"/>
        </w:rPr>
        <w:t>联系人</w:t>
      </w:r>
      <w:r>
        <w:rPr>
          <w:rFonts w:ascii="楷体" w:hAnsi="楷体" w:eastAsia="楷体"/>
          <w:color w:val="auto"/>
          <w:sz w:val="24"/>
        </w:rPr>
        <w:t xml:space="preserve">：                        </w:t>
      </w:r>
      <w:r>
        <w:rPr>
          <w:rFonts w:hint="eastAsia" w:ascii="楷体" w:hAnsi="楷体" w:eastAsia="楷体"/>
          <w:color w:val="auto"/>
          <w:sz w:val="24"/>
        </w:rPr>
        <w:t xml:space="preserve">          </w:t>
      </w:r>
      <w:r>
        <w:rPr>
          <w:rFonts w:ascii="楷体" w:hAnsi="楷体" w:eastAsia="楷体"/>
          <w:color w:val="auto"/>
          <w:sz w:val="24"/>
        </w:rPr>
        <w:t xml:space="preserve">联系人： </w:t>
      </w:r>
    </w:p>
    <w:p>
      <w:pPr>
        <w:ind w:right="560"/>
        <w:rPr>
          <w:rFonts w:ascii="楷体" w:hAnsi="楷体" w:eastAsia="楷体"/>
          <w:color w:val="auto"/>
          <w:sz w:val="24"/>
        </w:rPr>
      </w:pPr>
    </w:p>
    <w:p>
      <w:pPr>
        <w:ind w:right="560"/>
        <w:rPr>
          <w:rFonts w:ascii="楷体" w:hAnsi="楷体" w:eastAsia="楷体"/>
          <w:color w:val="auto"/>
          <w:sz w:val="24"/>
        </w:rPr>
      </w:pPr>
    </w:p>
    <w:p>
      <w:pPr>
        <w:ind w:right="560"/>
        <w:rPr>
          <w:rFonts w:ascii="楷体" w:hAnsi="楷体" w:eastAsia="楷体"/>
          <w:color w:val="auto"/>
          <w:sz w:val="24"/>
        </w:rPr>
      </w:pPr>
    </w:p>
    <w:p>
      <w:pPr>
        <w:ind w:left="5160" w:right="560" w:hanging="5160" w:hangingChars="2150"/>
        <w:rPr>
          <w:rFonts w:ascii="楷体" w:hAnsi="楷体" w:eastAsia="楷体"/>
          <w:color w:val="auto"/>
          <w:sz w:val="24"/>
        </w:rPr>
      </w:pPr>
      <w:r>
        <w:rPr>
          <w:rFonts w:hint="eastAsia" w:ascii="楷体" w:hAnsi="楷体" w:eastAsia="楷体"/>
          <w:color w:val="auto"/>
          <w:sz w:val="24"/>
        </w:rPr>
        <w:t>住所</w:t>
      </w:r>
      <w:r>
        <w:rPr>
          <w:rFonts w:ascii="楷体" w:hAnsi="楷体" w:eastAsia="楷体"/>
          <w:color w:val="auto"/>
          <w:sz w:val="24"/>
        </w:rPr>
        <w:t xml:space="preserve">：   </w:t>
      </w:r>
      <w:r>
        <w:rPr>
          <w:rFonts w:hint="eastAsia" w:ascii="楷体" w:hAnsi="楷体" w:eastAsia="楷体"/>
          <w:color w:val="auto"/>
          <w:sz w:val="24"/>
        </w:rPr>
        <w:t xml:space="preserve">                                 住所</w:t>
      </w:r>
      <w:r>
        <w:rPr>
          <w:rFonts w:ascii="楷体" w:hAnsi="楷体" w:eastAsia="楷体"/>
          <w:color w:val="auto"/>
          <w:sz w:val="24"/>
        </w:rPr>
        <w:t>：</w:t>
      </w:r>
      <w:r>
        <w:rPr>
          <w:rFonts w:hint="eastAsia" w:ascii="楷体" w:hAnsi="楷体" w:eastAsia="楷体"/>
          <w:color w:val="auto"/>
          <w:sz w:val="24"/>
        </w:rPr>
        <w:t xml:space="preserve">       </w:t>
      </w:r>
    </w:p>
    <w:p>
      <w:pPr>
        <w:ind w:right="560"/>
        <w:rPr>
          <w:rFonts w:ascii="楷体" w:hAnsi="楷体" w:eastAsia="楷体"/>
          <w:color w:val="auto"/>
          <w:sz w:val="24"/>
        </w:rPr>
      </w:pPr>
    </w:p>
    <w:p>
      <w:pPr>
        <w:ind w:right="560"/>
        <w:rPr>
          <w:rFonts w:ascii="楷体" w:hAnsi="楷体" w:eastAsia="楷体"/>
          <w:color w:val="auto"/>
          <w:sz w:val="24"/>
        </w:rPr>
      </w:pPr>
    </w:p>
    <w:p>
      <w:pPr>
        <w:ind w:right="560"/>
        <w:rPr>
          <w:rFonts w:ascii="楷体" w:hAnsi="楷体" w:eastAsia="楷体"/>
          <w:color w:val="auto"/>
          <w:sz w:val="24"/>
        </w:rPr>
      </w:pPr>
    </w:p>
    <w:p>
      <w:pPr>
        <w:ind w:right="560"/>
        <w:rPr>
          <w:rFonts w:ascii="楷体" w:hAnsi="楷体" w:eastAsia="楷体"/>
          <w:color w:val="auto"/>
          <w:sz w:val="24"/>
        </w:rPr>
      </w:pPr>
      <w:r>
        <w:rPr>
          <w:rFonts w:hint="eastAsia" w:ascii="楷体" w:hAnsi="楷体" w:eastAsia="楷体"/>
          <w:color w:val="auto"/>
          <w:sz w:val="24"/>
        </w:rPr>
        <w:t>联系</w:t>
      </w:r>
      <w:r>
        <w:rPr>
          <w:rFonts w:ascii="楷体" w:hAnsi="楷体" w:eastAsia="楷体"/>
          <w:color w:val="auto"/>
          <w:sz w:val="24"/>
        </w:rPr>
        <w:t xml:space="preserve">电话：                      </w:t>
      </w:r>
      <w:bookmarkStart w:id="0" w:name="OLE_LINK1"/>
      <w:bookmarkStart w:id="1" w:name="OLE_LINK2"/>
      <w:r>
        <w:rPr>
          <w:rFonts w:hint="eastAsia" w:ascii="楷体" w:hAnsi="楷体" w:eastAsia="楷体"/>
          <w:color w:val="auto"/>
          <w:sz w:val="24"/>
        </w:rPr>
        <w:t xml:space="preserve">          联系</w:t>
      </w:r>
      <w:r>
        <w:rPr>
          <w:rFonts w:ascii="楷体" w:hAnsi="楷体" w:eastAsia="楷体"/>
          <w:color w:val="auto"/>
          <w:sz w:val="24"/>
        </w:rPr>
        <w:t>电话：</w:t>
      </w:r>
      <w:bookmarkEnd w:id="0"/>
      <w:bookmarkEnd w:id="1"/>
    </w:p>
    <w:p>
      <w:pPr>
        <w:ind w:right="560"/>
        <w:rPr>
          <w:rFonts w:ascii="楷体" w:hAnsi="楷体" w:eastAsia="楷体"/>
          <w:color w:val="auto"/>
          <w:sz w:val="24"/>
        </w:rPr>
      </w:pPr>
    </w:p>
    <w:p>
      <w:pPr>
        <w:ind w:right="560"/>
        <w:rPr>
          <w:rFonts w:ascii="楷体" w:hAnsi="楷体" w:eastAsia="楷体"/>
          <w:color w:val="auto"/>
          <w:sz w:val="24"/>
        </w:rPr>
      </w:pPr>
    </w:p>
    <w:p>
      <w:pPr>
        <w:ind w:right="560"/>
        <w:rPr>
          <w:rFonts w:ascii="楷体" w:hAnsi="楷体" w:eastAsia="楷体"/>
          <w:color w:val="auto"/>
          <w:sz w:val="24"/>
        </w:rPr>
      </w:pPr>
    </w:p>
    <w:p>
      <w:pPr>
        <w:ind w:right="560"/>
        <w:rPr>
          <w:rFonts w:ascii="楷体" w:hAnsi="楷体" w:eastAsia="楷体"/>
          <w:color w:val="auto"/>
          <w:sz w:val="24"/>
          <w:u w:val="single"/>
        </w:rPr>
      </w:pPr>
      <w:r>
        <w:rPr>
          <w:rFonts w:ascii="楷体" w:hAnsi="楷体" w:eastAsia="楷体"/>
          <w:color w:val="auto"/>
          <w:sz w:val="24"/>
        </w:rPr>
        <w:t>签订日期：</w:t>
      </w:r>
      <w:r>
        <w:rPr>
          <w:rFonts w:ascii="楷体" w:hAnsi="楷体" w:eastAsia="楷体"/>
          <w:color w:val="auto"/>
          <w:sz w:val="24"/>
          <w:u w:val="single"/>
        </w:rPr>
        <w:t xml:space="preserve">      </w:t>
      </w:r>
      <w:r>
        <w:rPr>
          <w:rFonts w:ascii="楷体" w:hAnsi="楷体" w:eastAsia="楷体"/>
          <w:color w:val="auto"/>
          <w:sz w:val="24"/>
        </w:rPr>
        <w:t>年</w:t>
      </w:r>
      <w:r>
        <w:rPr>
          <w:rFonts w:ascii="楷体" w:hAnsi="楷体" w:eastAsia="楷体"/>
          <w:color w:val="auto"/>
          <w:sz w:val="24"/>
          <w:u w:val="single"/>
        </w:rPr>
        <w:t xml:space="preserve">   </w:t>
      </w:r>
      <w:r>
        <w:rPr>
          <w:rFonts w:ascii="楷体" w:hAnsi="楷体" w:eastAsia="楷体"/>
          <w:color w:val="auto"/>
          <w:sz w:val="24"/>
        </w:rPr>
        <w:t>月</w:t>
      </w:r>
      <w:r>
        <w:rPr>
          <w:rFonts w:ascii="楷体" w:hAnsi="楷体" w:eastAsia="楷体"/>
          <w:color w:val="auto"/>
          <w:sz w:val="24"/>
          <w:u w:val="single"/>
        </w:rPr>
        <w:t xml:space="preserve">   </w:t>
      </w:r>
      <w:r>
        <w:rPr>
          <w:rFonts w:ascii="楷体" w:hAnsi="楷体" w:eastAsia="楷体"/>
          <w:color w:val="auto"/>
          <w:sz w:val="24"/>
        </w:rPr>
        <w:t xml:space="preserve">日  </w:t>
      </w:r>
      <w:r>
        <w:rPr>
          <w:rFonts w:hint="eastAsia" w:ascii="楷体" w:hAnsi="楷体" w:eastAsia="楷体"/>
          <w:color w:val="auto"/>
          <w:sz w:val="24"/>
        </w:rPr>
        <w:t xml:space="preserve">        </w:t>
      </w:r>
      <w:r>
        <w:rPr>
          <w:rFonts w:ascii="楷体" w:hAnsi="楷体" w:eastAsia="楷体"/>
          <w:color w:val="auto"/>
          <w:sz w:val="24"/>
        </w:rPr>
        <w:t xml:space="preserve"> </w:t>
      </w:r>
      <w:r>
        <w:rPr>
          <w:rFonts w:hint="eastAsia" w:ascii="楷体" w:hAnsi="楷体" w:eastAsia="楷体"/>
          <w:color w:val="auto"/>
          <w:sz w:val="24"/>
        </w:rPr>
        <w:t xml:space="preserve">   签订地点：</w:t>
      </w:r>
      <w:r>
        <w:rPr>
          <w:rFonts w:hint="eastAsia" w:ascii="楷体" w:hAnsi="楷体" w:eastAsia="楷体"/>
          <w:color w:val="auto"/>
          <w:sz w:val="24"/>
          <w:u w:val="single"/>
        </w:rPr>
        <w:t xml:space="preserve"> </w:t>
      </w:r>
      <w:r>
        <w:rPr>
          <w:rFonts w:ascii="楷体" w:hAnsi="楷体" w:eastAsia="楷体"/>
          <w:color w:val="auto"/>
          <w:sz w:val="24"/>
          <w:u w:val="single"/>
        </w:rPr>
        <w:t xml:space="preserve">     </w:t>
      </w:r>
    </w:p>
    <w:sectPr>
      <w:pgSz w:w="11907" w:h="16840"/>
      <w:pgMar w:top="1469" w:right="1368" w:bottom="1296" w:left="1368" w:header="792" w:footer="864"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4A54"/>
    <w:multiLevelType w:val="multilevel"/>
    <w:tmpl w:val="0E714A54"/>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2091156E"/>
    <w:multiLevelType w:val="multilevel"/>
    <w:tmpl w:val="2091156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2F261F8"/>
    <w:multiLevelType w:val="multilevel"/>
    <w:tmpl w:val="22F261F8"/>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3651339"/>
    <w:multiLevelType w:val="multilevel"/>
    <w:tmpl w:val="23651339"/>
    <w:lvl w:ilvl="0" w:tentative="0">
      <w:start w:val="1"/>
      <w:numFmt w:val="japaneseCounting"/>
      <w:lvlText w:val="（%1）"/>
      <w:lvlJc w:val="left"/>
      <w:pPr>
        <w:ind w:left="1385" w:hanging="8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240B7607"/>
    <w:multiLevelType w:val="multilevel"/>
    <w:tmpl w:val="240B7607"/>
    <w:lvl w:ilvl="0" w:tentative="0">
      <w:start w:val="1"/>
      <w:numFmt w:val="japaneseCounting"/>
      <w:lvlText w:val="（%1）"/>
      <w:lvlJc w:val="left"/>
      <w:pPr>
        <w:ind w:left="1385" w:hanging="8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35FE08E6"/>
    <w:multiLevelType w:val="multilevel"/>
    <w:tmpl w:val="35FE08E6"/>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BC451ED"/>
    <w:multiLevelType w:val="multilevel"/>
    <w:tmpl w:val="4BC451ED"/>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90139A8"/>
    <w:multiLevelType w:val="multilevel"/>
    <w:tmpl w:val="590139A8"/>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7E0E2AF5"/>
    <w:multiLevelType w:val="multilevel"/>
    <w:tmpl w:val="7E0E2AF5"/>
    <w:lvl w:ilvl="0" w:tentative="0">
      <w:start w:val="1"/>
      <w:numFmt w:val="japaneseCounting"/>
      <w:lvlText w:val="（%1）"/>
      <w:lvlJc w:val="left"/>
      <w:pPr>
        <w:ind w:left="1385" w:hanging="8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7"/>
  </w:num>
  <w:num w:numId="2">
    <w:abstractNumId w:val="0"/>
  </w:num>
  <w:num w:numId="3">
    <w:abstractNumId w:val="1"/>
  </w:num>
  <w:num w:numId="4">
    <w:abstractNumId w:val="2"/>
  </w:num>
  <w:num w:numId="5">
    <w:abstractNumId w:val="4"/>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D1"/>
    <w:rsid w:val="000071CC"/>
    <w:rsid w:val="0001112A"/>
    <w:rsid w:val="00012F4A"/>
    <w:rsid w:val="00022B23"/>
    <w:rsid w:val="0002381E"/>
    <w:rsid w:val="000321EF"/>
    <w:rsid w:val="00032219"/>
    <w:rsid w:val="0003411A"/>
    <w:rsid w:val="00036D05"/>
    <w:rsid w:val="00037DF7"/>
    <w:rsid w:val="00045A21"/>
    <w:rsid w:val="00047559"/>
    <w:rsid w:val="000633F4"/>
    <w:rsid w:val="000647DF"/>
    <w:rsid w:val="0007739C"/>
    <w:rsid w:val="00081834"/>
    <w:rsid w:val="0008600D"/>
    <w:rsid w:val="00086DF6"/>
    <w:rsid w:val="000A46ED"/>
    <w:rsid w:val="000B0F7B"/>
    <w:rsid w:val="000B6D15"/>
    <w:rsid w:val="000B791E"/>
    <w:rsid w:val="000D2C4F"/>
    <w:rsid w:val="000E7B56"/>
    <w:rsid w:val="000F16D9"/>
    <w:rsid w:val="00105F0D"/>
    <w:rsid w:val="00111DF8"/>
    <w:rsid w:val="001128DC"/>
    <w:rsid w:val="00114284"/>
    <w:rsid w:val="00120240"/>
    <w:rsid w:val="001225C3"/>
    <w:rsid w:val="00126B08"/>
    <w:rsid w:val="00130F17"/>
    <w:rsid w:val="0013483A"/>
    <w:rsid w:val="00141028"/>
    <w:rsid w:val="00143EAE"/>
    <w:rsid w:val="001540C9"/>
    <w:rsid w:val="00155AF7"/>
    <w:rsid w:val="00181FC0"/>
    <w:rsid w:val="00183062"/>
    <w:rsid w:val="00184202"/>
    <w:rsid w:val="00194B01"/>
    <w:rsid w:val="001A2013"/>
    <w:rsid w:val="001A5B0D"/>
    <w:rsid w:val="001B6D58"/>
    <w:rsid w:val="001D1A8D"/>
    <w:rsid w:val="001D2540"/>
    <w:rsid w:val="001D74E7"/>
    <w:rsid w:val="001E3198"/>
    <w:rsid w:val="001E6CDF"/>
    <w:rsid w:val="00213326"/>
    <w:rsid w:val="00214A3E"/>
    <w:rsid w:val="00221C51"/>
    <w:rsid w:val="0023015E"/>
    <w:rsid w:val="0024362F"/>
    <w:rsid w:val="00261953"/>
    <w:rsid w:val="00262EDD"/>
    <w:rsid w:val="002632EF"/>
    <w:rsid w:val="0029215C"/>
    <w:rsid w:val="00292637"/>
    <w:rsid w:val="0029274A"/>
    <w:rsid w:val="00294821"/>
    <w:rsid w:val="0029786F"/>
    <w:rsid w:val="002B4288"/>
    <w:rsid w:val="002B64F2"/>
    <w:rsid w:val="002C5986"/>
    <w:rsid w:val="002D189E"/>
    <w:rsid w:val="002D19E6"/>
    <w:rsid w:val="002F0067"/>
    <w:rsid w:val="002F0550"/>
    <w:rsid w:val="002F4261"/>
    <w:rsid w:val="003049BF"/>
    <w:rsid w:val="00305814"/>
    <w:rsid w:val="003226E2"/>
    <w:rsid w:val="00347851"/>
    <w:rsid w:val="003603C0"/>
    <w:rsid w:val="00370D3B"/>
    <w:rsid w:val="003721C1"/>
    <w:rsid w:val="00372FE8"/>
    <w:rsid w:val="00380760"/>
    <w:rsid w:val="00392B6B"/>
    <w:rsid w:val="00393962"/>
    <w:rsid w:val="003C1FFA"/>
    <w:rsid w:val="003C4718"/>
    <w:rsid w:val="003C6256"/>
    <w:rsid w:val="003D54F4"/>
    <w:rsid w:val="003D7433"/>
    <w:rsid w:val="003E5B02"/>
    <w:rsid w:val="003E61EB"/>
    <w:rsid w:val="003F38D0"/>
    <w:rsid w:val="00403A1B"/>
    <w:rsid w:val="00403A7F"/>
    <w:rsid w:val="00403E03"/>
    <w:rsid w:val="00406702"/>
    <w:rsid w:val="00414331"/>
    <w:rsid w:val="0043222E"/>
    <w:rsid w:val="004456E4"/>
    <w:rsid w:val="004456FB"/>
    <w:rsid w:val="00447989"/>
    <w:rsid w:val="00453105"/>
    <w:rsid w:val="00461EEB"/>
    <w:rsid w:val="00467037"/>
    <w:rsid w:val="00470EB5"/>
    <w:rsid w:val="00474FA0"/>
    <w:rsid w:val="004856E5"/>
    <w:rsid w:val="004A0B0B"/>
    <w:rsid w:val="004B3B22"/>
    <w:rsid w:val="004C2F6C"/>
    <w:rsid w:val="004C302A"/>
    <w:rsid w:val="004C689B"/>
    <w:rsid w:val="004D4459"/>
    <w:rsid w:val="004D4F6E"/>
    <w:rsid w:val="004E00FE"/>
    <w:rsid w:val="004E217D"/>
    <w:rsid w:val="004F16B9"/>
    <w:rsid w:val="004F6FA8"/>
    <w:rsid w:val="00504832"/>
    <w:rsid w:val="00507972"/>
    <w:rsid w:val="00510A5E"/>
    <w:rsid w:val="00525473"/>
    <w:rsid w:val="00530904"/>
    <w:rsid w:val="005351EC"/>
    <w:rsid w:val="0054075C"/>
    <w:rsid w:val="00553A5C"/>
    <w:rsid w:val="00554AFF"/>
    <w:rsid w:val="00566130"/>
    <w:rsid w:val="0057162E"/>
    <w:rsid w:val="00573414"/>
    <w:rsid w:val="00581830"/>
    <w:rsid w:val="0058225E"/>
    <w:rsid w:val="005914E0"/>
    <w:rsid w:val="005920D5"/>
    <w:rsid w:val="005969FC"/>
    <w:rsid w:val="00596CCC"/>
    <w:rsid w:val="005A1A3E"/>
    <w:rsid w:val="005A1FBD"/>
    <w:rsid w:val="005A309A"/>
    <w:rsid w:val="005A75A7"/>
    <w:rsid w:val="005B2B32"/>
    <w:rsid w:val="005B35D1"/>
    <w:rsid w:val="005E19B9"/>
    <w:rsid w:val="006031CB"/>
    <w:rsid w:val="00633129"/>
    <w:rsid w:val="00651DFB"/>
    <w:rsid w:val="006562B0"/>
    <w:rsid w:val="00662131"/>
    <w:rsid w:val="00671733"/>
    <w:rsid w:val="0067201E"/>
    <w:rsid w:val="006754FC"/>
    <w:rsid w:val="006828F8"/>
    <w:rsid w:val="006A2048"/>
    <w:rsid w:val="006B161C"/>
    <w:rsid w:val="006B5968"/>
    <w:rsid w:val="006C4F94"/>
    <w:rsid w:val="006C5217"/>
    <w:rsid w:val="006C5F90"/>
    <w:rsid w:val="006C7AE3"/>
    <w:rsid w:val="006D64EE"/>
    <w:rsid w:val="006D6CEB"/>
    <w:rsid w:val="00701A88"/>
    <w:rsid w:val="007342C4"/>
    <w:rsid w:val="00737C09"/>
    <w:rsid w:val="007463D1"/>
    <w:rsid w:val="007647AD"/>
    <w:rsid w:val="0076514A"/>
    <w:rsid w:val="007755EF"/>
    <w:rsid w:val="0078512A"/>
    <w:rsid w:val="007860CE"/>
    <w:rsid w:val="00787F00"/>
    <w:rsid w:val="007A0FC9"/>
    <w:rsid w:val="007A1BBE"/>
    <w:rsid w:val="007B0260"/>
    <w:rsid w:val="007D1AEF"/>
    <w:rsid w:val="007E1A54"/>
    <w:rsid w:val="007E34AD"/>
    <w:rsid w:val="007F4779"/>
    <w:rsid w:val="007F6B8D"/>
    <w:rsid w:val="00805405"/>
    <w:rsid w:val="00805578"/>
    <w:rsid w:val="008106C6"/>
    <w:rsid w:val="00813B2D"/>
    <w:rsid w:val="008176A4"/>
    <w:rsid w:val="00830649"/>
    <w:rsid w:val="00863541"/>
    <w:rsid w:val="00875E83"/>
    <w:rsid w:val="00876C91"/>
    <w:rsid w:val="00885CFC"/>
    <w:rsid w:val="008907B4"/>
    <w:rsid w:val="008971CC"/>
    <w:rsid w:val="008A37BC"/>
    <w:rsid w:val="008B04E0"/>
    <w:rsid w:val="008B16E8"/>
    <w:rsid w:val="008B4D13"/>
    <w:rsid w:val="008B7EF7"/>
    <w:rsid w:val="008C6985"/>
    <w:rsid w:val="008D1030"/>
    <w:rsid w:val="008D361E"/>
    <w:rsid w:val="008E440D"/>
    <w:rsid w:val="008E673B"/>
    <w:rsid w:val="008E6FF1"/>
    <w:rsid w:val="008F294E"/>
    <w:rsid w:val="00904FC1"/>
    <w:rsid w:val="0090650F"/>
    <w:rsid w:val="00924656"/>
    <w:rsid w:val="009257CC"/>
    <w:rsid w:val="00925B00"/>
    <w:rsid w:val="00934716"/>
    <w:rsid w:val="009357A3"/>
    <w:rsid w:val="00935829"/>
    <w:rsid w:val="009547E5"/>
    <w:rsid w:val="00954BAF"/>
    <w:rsid w:val="00957BAE"/>
    <w:rsid w:val="009613B1"/>
    <w:rsid w:val="00972E1A"/>
    <w:rsid w:val="00973503"/>
    <w:rsid w:val="0097431B"/>
    <w:rsid w:val="0099304D"/>
    <w:rsid w:val="009967E1"/>
    <w:rsid w:val="009A6B2B"/>
    <w:rsid w:val="009A7EA5"/>
    <w:rsid w:val="009B1322"/>
    <w:rsid w:val="009C1097"/>
    <w:rsid w:val="009C291C"/>
    <w:rsid w:val="009C3B03"/>
    <w:rsid w:val="009E094E"/>
    <w:rsid w:val="009E59F7"/>
    <w:rsid w:val="00A10B74"/>
    <w:rsid w:val="00A22858"/>
    <w:rsid w:val="00A231A1"/>
    <w:rsid w:val="00A24A89"/>
    <w:rsid w:val="00A30D5B"/>
    <w:rsid w:val="00A310DF"/>
    <w:rsid w:val="00A34F48"/>
    <w:rsid w:val="00A40EC1"/>
    <w:rsid w:val="00A41E5A"/>
    <w:rsid w:val="00A456F9"/>
    <w:rsid w:val="00A608BA"/>
    <w:rsid w:val="00A63C3C"/>
    <w:rsid w:val="00A65527"/>
    <w:rsid w:val="00A75B0D"/>
    <w:rsid w:val="00A80D5D"/>
    <w:rsid w:val="00A82835"/>
    <w:rsid w:val="00A84CDA"/>
    <w:rsid w:val="00A86C2D"/>
    <w:rsid w:val="00AA31CC"/>
    <w:rsid w:val="00AA43F4"/>
    <w:rsid w:val="00AB2D53"/>
    <w:rsid w:val="00AC0389"/>
    <w:rsid w:val="00AC1C61"/>
    <w:rsid w:val="00AC5DA7"/>
    <w:rsid w:val="00AD0B9F"/>
    <w:rsid w:val="00AD45DC"/>
    <w:rsid w:val="00AE4A35"/>
    <w:rsid w:val="00AF0184"/>
    <w:rsid w:val="00AF08DE"/>
    <w:rsid w:val="00AF3C81"/>
    <w:rsid w:val="00AF46D0"/>
    <w:rsid w:val="00B01DA0"/>
    <w:rsid w:val="00B04C91"/>
    <w:rsid w:val="00B07410"/>
    <w:rsid w:val="00B24259"/>
    <w:rsid w:val="00B3199B"/>
    <w:rsid w:val="00B33760"/>
    <w:rsid w:val="00B343F0"/>
    <w:rsid w:val="00B37117"/>
    <w:rsid w:val="00B41D02"/>
    <w:rsid w:val="00B41D0E"/>
    <w:rsid w:val="00B46DF5"/>
    <w:rsid w:val="00B5124C"/>
    <w:rsid w:val="00B60B57"/>
    <w:rsid w:val="00B747C2"/>
    <w:rsid w:val="00B74B6F"/>
    <w:rsid w:val="00B87FC4"/>
    <w:rsid w:val="00B95C14"/>
    <w:rsid w:val="00B97E86"/>
    <w:rsid w:val="00BA305A"/>
    <w:rsid w:val="00BB4B2A"/>
    <w:rsid w:val="00BB7475"/>
    <w:rsid w:val="00BC6266"/>
    <w:rsid w:val="00BD296B"/>
    <w:rsid w:val="00BF05E4"/>
    <w:rsid w:val="00BF1491"/>
    <w:rsid w:val="00BF4AEA"/>
    <w:rsid w:val="00C4471C"/>
    <w:rsid w:val="00C56BD4"/>
    <w:rsid w:val="00C71290"/>
    <w:rsid w:val="00C776E7"/>
    <w:rsid w:val="00C82374"/>
    <w:rsid w:val="00CA2E96"/>
    <w:rsid w:val="00CB42F5"/>
    <w:rsid w:val="00CB7554"/>
    <w:rsid w:val="00CC4D24"/>
    <w:rsid w:val="00CD227B"/>
    <w:rsid w:val="00CD2601"/>
    <w:rsid w:val="00CE42F9"/>
    <w:rsid w:val="00CF5682"/>
    <w:rsid w:val="00D2623C"/>
    <w:rsid w:val="00D70A4F"/>
    <w:rsid w:val="00D72920"/>
    <w:rsid w:val="00D77CDC"/>
    <w:rsid w:val="00D94BAE"/>
    <w:rsid w:val="00DA7215"/>
    <w:rsid w:val="00DB47C3"/>
    <w:rsid w:val="00DD0DEC"/>
    <w:rsid w:val="00DD1A15"/>
    <w:rsid w:val="00DE230B"/>
    <w:rsid w:val="00DE4D77"/>
    <w:rsid w:val="00E170B7"/>
    <w:rsid w:val="00E17F4E"/>
    <w:rsid w:val="00E22583"/>
    <w:rsid w:val="00E26D7A"/>
    <w:rsid w:val="00E308F7"/>
    <w:rsid w:val="00E31849"/>
    <w:rsid w:val="00E41807"/>
    <w:rsid w:val="00E42BEB"/>
    <w:rsid w:val="00E54516"/>
    <w:rsid w:val="00E54D71"/>
    <w:rsid w:val="00E60E05"/>
    <w:rsid w:val="00E65BA2"/>
    <w:rsid w:val="00E72D0E"/>
    <w:rsid w:val="00E73D01"/>
    <w:rsid w:val="00E815D5"/>
    <w:rsid w:val="00E92D75"/>
    <w:rsid w:val="00E93609"/>
    <w:rsid w:val="00EA03C3"/>
    <w:rsid w:val="00EA71F5"/>
    <w:rsid w:val="00EC73DD"/>
    <w:rsid w:val="00ED2405"/>
    <w:rsid w:val="00EE425C"/>
    <w:rsid w:val="00EE7431"/>
    <w:rsid w:val="00EF04B0"/>
    <w:rsid w:val="00EF069C"/>
    <w:rsid w:val="00F00BC1"/>
    <w:rsid w:val="00F15934"/>
    <w:rsid w:val="00F20A4F"/>
    <w:rsid w:val="00F6024A"/>
    <w:rsid w:val="00F757E7"/>
    <w:rsid w:val="00F84528"/>
    <w:rsid w:val="00F9055D"/>
    <w:rsid w:val="00FA34AF"/>
    <w:rsid w:val="00FA62FC"/>
    <w:rsid w:val="00FB29F4"/>
    <w:rsid w:val="00FC338D"/>
    <w:rsid w:val="00FC627E"/>
    <w:rsid w:val="00FD07A5"/>
    <w:rsid w:val="00FD70F2"/>
    <w:rsid w:val="00FE7658"/>
    <w:rsid w:val="00FF625D"/>
    <w:rsid w:val="00FF6830"/>
    <w:rsid w:val="01BD6FDB"/>
    <w:rsid w:val="025350BA"/>
    <w:rsid w:val="03A115B6"/>
    <w:rsid w:val="04562DC3"/>
    <w:rsid w:val="054910D3"/>
    <w:rsid w:val="05B73CAC"/>
    <w:rsid w:val="096A1EF6"/>
    <w:rsid w:val="09D628B5"/>
    <w:rsid w:val="0AAE746F"/>
    <w:rsid w:val="0B5737DE"/>
    <w:rsid w:val="0C216671"/>
    <w:rsid w:val="0D686C30"/>
    <w:rsid w:val="0D81407C"/>
    <w:rsid w:val="0ED960EA"/>
    <w:rsid w:val="10BA28C5"/>
    <w:rsid w:val="13580B74"/>
    <w:rsid w:val="169E615F"/>
    <w:rsid w:val="19443F3B"/>
    <w:rsid w:val="1AF239B7"/>
    <w:rsid w:val="1E502423"/>
    <w:rsid w:val="23437A53"/>
    <w:rsid w:val="28E257C6"/>
    <w:rsid w:val="294936F3"/>
    <w:rsid w:val="2C7349A5"/>
    <w:rsid w:val="307D6DA5"/>
    <w:rsid w:val="327F5773"/>
    <w:rsid w:val="347B0BC5"/>
    <w:rsid w:val="36CD7026"/>
    <w:rsid w:val="39C41C72"/>
    <w:rsid w:val="3DC06AF0"/>
    <w:rsid w:val="471C6A27"/>
    <w:rsid w:val="476A7DBD"/>
    <w:rsid w:val="4DD66585"/>
    <w:rsid w:val="50E975DD"/>
    <w:rsid w:val="50F5579E"/>
    <w:rsid w:val="55433DC6"/>
    <w:rsid w:val="58492661"/>
    <w:rsid w:val="5A9A1638"/>
    <w:rsid w:val="5B715ACC"/>
    <w:rsid w:val="5BE62818"/>
    <w:rsid w:val="5E860875"/>
    <w:rsid w:val="621520F0"/>
    <w:rsid w:val="622D2EF0"/>
    <w:rsid w:val="63A61E80"/>
    <w:rsid w:val="68686F6A"/>
    <w:rsid w:val="69CF5E83"/>
    <w:rsid w:val="6BB541DB"/>
    <w:rsid w:val="6D655F75"/>
    <w:rsid w:val="6D8F51C5"/>
    <w:rsid w:val="6F043A46"/>
    <w:rsid w:val="740A5A5B"/>
    <w:rsid w:val="745C69C8"/>
    <w:rsid w:val="74B80A06"/>
    <w:rsid w:val="777F3004"/>
    <w:rsid w:val="7B772DAF"/>
    <w:rsid w:val="7C927424"/>
    <w:rsid w:val="7D847D6D"/>
    <w:rsid w:val="7FF005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0"/>
    <w:pPr>
      <w:jc w:val="left"/>
    </w:pPr>
  </w:style>
  <w:style w:type="paragraph" w:styleId="3">
    <w:name w:val="Balloon Text"/>
    <w:basedOn w:val="1"/>
    <w:link w:val="12"/>
    <w:qFormat/>
    <w:uiPriority w:val="0"/>
    <w:rPr>
      <w:rFonts w:ascii="Tahoma" w:hAnsi="Tahoma" w:cs="Tahoma"/>
      <w:sz w:val="16"/>
      <w:szCs w:val="16"/>
    </w:rPr>
  </w:style>
  <w:style w:type="paragraph" w:styleId="4">
    <w:name w:val="footer"/>
    <w:basedOn w:val="1"/>
    <w:link w:val="11"/>
    <w:qFormat/>
    <w:uiPriority w:val="99"/>
    <w:pPr>
      <w:tabs>
        <w:tab w:val="center" w:pos="4153"/>
        <w:tab w:val="right" w:pos="8306"/>
      </w:tabs>
    </w:pPr>
    <w:rPr>
      <w:sz w:val="18"/>
      <w:szCs w:val="18"/>
    </w:rPr>
  </w:style>
  <w:style w:type="paragraph" w:styleId="5">
    <w:name w:val="header"/>
    <w:basedOn w:val="1"/>
    <w:link w:val="10"/>
    <w:qFormat/>
    <w:uiPriority w:val="99"/>
    <w:pPr>
      <w:tabs>
        <w:tab w:val="center" w:pos="4153"/>
        <w:tab w:val="right" w:pos="8306"/>
      </w:tabs>
    </w:pPr>
    <w:rPr>
      <w:sz w:val="18"/>
      <w:szCs w:val="18"/>
    </w:rPr>
  </w:style>
  <w:style w:type="paragraph" w:styleId="6">
    <w:name w:val="annotation subject"/>
    <w:basedOn w:val="2"/>
    <w:next w:val="2"/>
    <w:link w:val="15"/>
    <w:semiHidden/>
    <w:unhideWhenUsed/>
    <w:qFormat/>
    <w:uiPriority w:val="0"/>
    <w:rPr>
      <w:b/>
      <w:bCs/>
    </w:rPr>
  </w:style>
  <w:style w:type="character" w:styleId="9">
    <w:name w:val="annotation reference"/>
    <w:basedOn w:val="8"/>
    <w:semiHidden/>
    <w:unhideWhenUsed/>
    <w:qFormat/>
    <w:uiPriority w:val="0"/>
    <w:rPr>
      <w:sz w:val="21"/>
      <w:szCs w:val="21"/>
    </w:rPr>
  </w:style>
  <w:style w:type="character" w:customStyle="1" w:styleId="10">
    <w:name w:val="页眉 字符"/>
    <w:link w:val="5"/>
    <w:semiHidden/>
    <w:qFormat/>
    <w:uiPriority w:val="99"/>
    <w:rPr>
      <w:kern w:val="2"/>
      <w:sz w:val="18"/>
      <w:szCs w:val="18"/>
    </w:rPr>
  </w:style>
  <w:style w:type="character" w:customStyle="1" w:styleId="11">
    <w:name w:val="页脚 字符"/>
    <w:link w:val="4"/>
    <w:semiHidden/>
    <w:qFormat/>
    <w:uiPriority w:val="99"/>
    <w:rPr>
      <w:kern w:val="2"/>
      <w:sz w:val="18"/>
      <w:szCs w:val="18"/>
    </w:rPr>
  </w:style>
  <w:style w:type="character" w:customStyle="1" w:styleId="12">
    <w:name w:val="批注框文本 字符"/>
    <w:basedOn w:val="8"/>
    <w:link w:val="3"/>
    <w:qFormat/>
    <w:uiPriority w:val="0"/>
    <w:rPr>
      <w:rFonts w:ascii="Tahoma" w:hAnsi="Tahoma" w:cs="Tahoma"/>
      <w:kern w:val="2"/>
      <w:sz w:val="16"/>
      <w:szCs w:val="16"/>
    </w:rPr>
  </w:style>
  <w:style w:type="paragraph" w:styleId="13">
    <w:name w:val="List Paragraph"/>
    <w:basedOn w:val="1"/>
    <w:qFormat/>
    <w:uiPriority w:val="34"/>
    <w:pPr>
      <w:ind w:firstLine="420" w:firstLineChars="200"/>
    </w:pPr>
  </w:style>
  <w:style w:type="character" w:customStyle="1" w:styleId="14">
    <w:name w:val="批注文字 字符"/>
    <w:basedOn w:val="8"/>
    <w:link w:val="2"/>
    <w:semiHidden/>
    <w:qFormat/>
    <w:uiPriority w:val="0"/>
    <w:rPr>
      <w:kern w:val="2"/>
      <w:sz w:val="21"/>
      <w:szCs w:val="24"/>
    </w:rPr>
  </w:style>
  <w:style w:type="character" w:customStyle="1" w:styleId="15">
    <w:name w:val="批注主题 字符"/>
    <w:basedOn w:val="14"/>
    <w:link w:val="6"/>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电脑工作室</Company>
  <Pages>5</Pages>
  <Words>571</Words>
  <Characters>3257</Characters>
  <Lines>27</Lines>
  <Paragraphs>7</Paragraphs>
  <TotalTime>7</TotalTime>
  <ScaleCrop>false</ScaleCrop>
  <LinksUpToDate>false</LinksUpToDate>
  <CharactersWithSpaces>3821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2017-10-11T05:55:00Z</dcterms:created>
  <dc:creator>toshiba</dc:creator>
  <cp:lastModifiedBy>gd</cp:lastModifiedBy>
  <cp:lastPrinted>2020-06-09T08:56:00Z</cp:lastPrinted>
  <dcterms:modified xsi:type="dcterms:W3CDTF">2020-12-07T06:16:58Z</dcterms:modified>
  <dc:title>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