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04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  <w:bookmarkStart w:id="1" w:name="_GoBack"/>
      <w:bookmarkEnd w:id="1"/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安路普</w:t>
      </w:r>
      <w:r>
        <w:rPr>
          <w:rStyle w:val="15"/>
          <w:b w:val="0"/>
          <w:bCs w:val="0"/>
          <w:szCs w:val="21"/>
          <w:shd w:val="clear" w:color="auto" w:fill="FFFFFF"/>
        </w:rPr>
        <w:t>(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北京</w:t>
      </w:r>
      <w:r>
        <w:rPr>
          <w:rStyle w:val="15"/>
          <w:b w:val="0"/>
          <w:bCs w:val="0"/>
          <w:szCs w:val="21"/>
          <w:shd w:val="clear" w:color="auto" w:fill="FFFFFF"/>
        </w:rPr>
        <w:t>)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不含税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t>3000</w:t>
            </w:r>
            <w:r>
              <w:rPr>
                <w:rFonts w:hint="eastAsia"/>
                <w:lang w:eastAsia="zh-CN"/>
              </w:rPr>
              <w:t>空气悬浮</w:t>
            </w:r>
            <w:r>
              <w:rPr>
                <w:rFonts w:hint="eastAsia"/>
              </w:rPr>
              <w:t>主司机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4251510091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2100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42000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X3000副司机座椅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4251510092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7800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49800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大写：肆万玖仟捌佰元整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济南宇鑫物流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2021年4月6日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济南四建集团钢结构公司院内</w:t>
      </w:r>
    </w:p>
    <w:p>
      <w:pPr>
        <w:snapToGrid w:val="0"/>
        <w:spacing w:line="240" w:lineRule="exact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15588882520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马亮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马亮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1BB86C06"/>
    <w:rsid w:val="4E5E27A2"/>
    <w:rsid w:val="52C6197B"/>
    <w:rsid w:val="546503EC"/>
    <w:rsid w:val="70514BF7"/>
    <w:rsid w:val="77645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2021-04-05T09:57:38Z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F0188208C6CE44CCB9D7A109D2B47389</vt:lpwstr>
  </property>
</Properties>
</file>