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安陆普（北京）汽车技术有限公司黄骅分公司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成都光华智能汽车部件有限公司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92"/>
        <w:gridCol w:w="1309"/>
        <w:gridCol w:w="1044"/>
        <w:gridCol w:w="21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7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1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税）</w:t>
            </w:r>
          </w:p>
        </w:tc>
        <w:tc>
          <w:tcPr>
            <w:tcW w:w="1254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C30D电调整机构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BMM0000020</w:t>
            </w:r>
          </w:p>
        </w:tc>
        <w:tc>
          <w:tcPr>
            <w:tcW w:w="587" w:type="pct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620个</w:t>
            </w:r>
          </w:p>
        </w:tc>
        <w:tc>
          <w:tcPr>
            <w:tcW w:w="1191" w:type="pct"/>
          </w:tcPr>
          <w:p>
            <w:pPr>
              <w:widowControl/>
              <w:spacing w:line="360" w:lineRule="auto"/>
              <w:ind w:firstLine="723" w:firstLineChars="3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14.364</w:t>
            </w:r>
          </w:p>
        </w:tc>
        <w:tc>
          <w:tcPr>
            <w:tcW w:w="1254" w:type="pct"/>
          </w:tcPr>
          <w:p>
            <w:pPr>
              <w:widowControl/>
              <w:spacing w:line="360" w:lineRule="auto"/>
              <w:ind w:firstLine="482" w:firstLineChars="2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8905.68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1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4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黄骅分公司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 15日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</w:rPr>
        <w:t>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val="en-US" w:eastAsia="zh-CN"/>
        </w:rPr>
        <w:t>安陆普（北京）汽车技术有限公司黄骅分公司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河北省黄骅市开发区迎宾大街西新307国道南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乙方(盖章)：成都光华智能汽车部件有限公司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址：四川省成都经济技术开发区（龙泉驿区柏合镇）合志西路77号 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话：028-84839328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行：中国银行成都龙泉驿北泉支行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开户行账号：126657168397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成都市龙泉驿区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0F6206"/>
    <w:rsid w:val="00162DE2"/>
    <w:rsid w:val="00163CDD"/>
    <w:rsid w:val="00176B27"/>
    <w:rsid w:val="001C7127"/>
    <w:rsid w:val="001F562B"/>
    <w:rsid w:val="002C24D1"/>
    <w:rsid w:val="0044509F"/>
    <w:rsid w:val="00495B63"/>
    <w:rsid w:val="00573652"/>
    <w:rsid w:val="005B5AC7"/>
    <w:rsid w:val="006B1554"/>
    <w:rsid w:val="006E07F4"/>
    <w:rsid w:val="007013F9"/>
    <w:rsid w:val="00733353"/>
    <w:rsid w:val="007E4F2A"/>
    <w:rsid w:val="00AB5935"/>
    <w:rsid w:val="00AF4828"/>
    <w:rsid w:val="00B4140B"/>
    <w:rsid w:val="00B41948"/>
    <w:rsid w:val="00BD671C"/>
    <w:rsid w:val="00C93E16"/>
    <w:rsid w:val="00CD26FD"/>
    <w:rsid w:val="00E85F5C"/>
    <w:rsid w:val="00F022AD"/>
    <w:rsid w:val="00F25D00"/>
    <w:rsid w:val="04C32254"/>
    <w:rsid w:val="160D5C82"/>
    <w:rsid w:val="3B233DAE"/>
    <w:rsid w:val="4B052C84"/>
    <w:rsid w:val="51461FA4"/>
    <w:rsid w:val="52147E98"/>
    <w:rsid w:val="6DDB4770"/>
    <w:rsid w:val="7396575B"/>
    <w:rsid w:val="73B76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1055</Characters>
  <Lines>8</Lines>
  <Paragraphs>2</Paragraphs>
  <TotalTime>2</TotalTime>
  <ScaleCrop>false</ScaleCrop>
  <LinksUpToDate>false</LinksUpToDate>
  <CharactersWithSpaces>1237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2021-01-14T02:35:00Z</dcterms:created>
  <dc:creator>wang fucheng</dc:creator>
  <cp:lastModifiedBy>Administrator</cp:lastModifiedBy>
  <dcterms:modified xsi:type="dcterms:W3CDTF">2021-04-15T02:34:14Z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CE9AB2CC91814B568F47601B37D4640A</vt:lpwstr>
  </property>
</Properties>
</file>