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-592"/>
        <w:rPr>
          <w:rFonts w:hint="eastAsia"/>
          <w:bCs/>
          <w:sz w:val="24"/>
        </w:rPr>
      </w:pPr>
    </w:p>
    <w:p>
      <w:pPr>
        <w:adjustRightInd w:val="0"/>
        <w:snapToGrid w:val="0"/>
        <w:spacing w:before="62" w:beforeLines="20" w:line="380" w:lineRule="exact"/>
        <w:jc w:val="left"/>
        <w:rPr>
          <w:rFonts w:hint="eastAsia"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64770</wp:posOffset>
            </wp:positionV>
            <wp:extent cx="1870710" cy="464820"/>
            <wp:effectExtent l="0" t="0" r="15240" b="11430"/>
            <wp:wrapSquare wrapText="bothSides"/>
            <wp:docPr id="1" name="图片 7" descr="企业品牌-福田汽车-(优先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企业品牌-福田汽车-(优先)"/>
                    <pic:cNvPicPr>
                      <a:picLocks noChangeAspect="1"/>
                    </pic:cNvPicPr>
                  </pic:nvPicPr>
                  <pic:blipFill>
                    <a:blip r:embed="rId4"/>
                    <a:srcRect t="18971" b="16135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before="62" w:beforeLines="20" w:line="380" w:lineRule="exact"/>
        <w:jc w:val="center"/>
        <w:rPr>
          <w:rFonts w:hint="eastAsia" w:ascii="微软雅黑" w:hAnsi="微软雅黑" w:eastAsia="微软雅黑"/>
          <w:b/>
          <w:sz w:val="28"/>
          <w:szCs w:val="21"/>
        </w:rPr>
      </w:pPr>
    </w:p>
    <w:p>
      <w:pPr>
        <w:spacing w:before="156" w:beforeLines="50"/>
        <w:jc w:val="center"/>
        <w:rPr>
          <w:rFonts w:ascii="隶书" w:eastAsia="隶书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1905</wp:posOffset>
                </wp:positionV>
                <wp:extent cx="58483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6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1pt;margin-top:0.15pt;height:0pt;width:460.5pt;z-index:251659264;mso-width-relative:page;mso-height-relative:page;" filled="f" stroked="t" coordsize="21600,21600" o:gfxdata="UEsDBAoAAAAAAIdO4kAAAAAAAAAAAAAAAAAEAAAAZHJzL1BLAwQUAAAACACHTuJAoBLX59UAAAAF&#10;AQAADwAAAGRycy9kb3ducmV2LnhtbE2PzWrDMBCE74W+g9hCb4kcN9TGtRxKoNBLU5L2ATbWxja1&#10;VsZSfpyn7+bUHocZZr4pVxfXqxONofNsYDFPQBHX3nbcGPj+epvloEJEtth7JgMTBVhV93clFtaf&#10;eUunXWyUlHAo0EAb41BoHeqWHIa5H4jFO/jRYRQ5NtqOeJZy1+s0SZ61w45locWB1i3VP7ujM7Bd&#10;+032Oiw/3zfx45BdrxPVzWTM48MieQEV6RL/wnDDF3SohGnvj2yD6g3MlmkqUQNPoMTOs1ye7G9S&#10;V6X+T1/9AlBLAwQUAAAACACHTuJAF5PAm+cBAAC5AwAADgAAAGRycy9lMm9Eb2MueG1srVO9jhMx&#10;EO6ReAfLPdkk0iVhlc0ViY7mgEh3PMDE681a2B7LdrLJS/ACSHRQUdLzNhyPwdj5gcs1V7CF5fHM&#10;fDPfN7PT653RbCt9UGgrPuj1OZNWYK3suuIf7m9eTTgLEWwNGq2s+F4Gfj17+WLauVIOsUVdS88I&#10;xIaycxVvY3RlUQTRSgOhh05acjboDUQy/bqoPXSEbnQx7PdHRYe+dh6FDIFeFwcnPyL65wBi0ygh&#10;Fyg2Rtp4QPVSQyRKoVUu8FnutmmkiO+bJsjIdMWJacwnFaH7Kp3FbArl2oNrlTi2AM9p4YKTAWWp&#10;6BlqARHYxqsnUEYJjwGb2BNoigORrAixGPQvtLlrwcnMhaQO7ix6+H+w4t126ZmqKz7mzIKhgT98&#10;/vHr09ffP7/Q+fD9GxsnkToXSoqd26VPNMXO3rlbFB8Dszhvwa5lbvZ+7whhkDKKRynJCI5Krbq3&#10;WFMMbCJmxXaNNwmStGC7PJj9eTByF5mgx9Fw8no0vuJMnHwFlKdE50N8I9GwdKm4VjZpBiVsb0NM&#10;jUB5CknPFm+U1nnu2rKOur2aEHRyBdSqTt5s+PVqrj3bQlqd/GVaF2EeN7Y+VNE25cm8dcfSJ9oH&#10;AVdY75f+pA1NNDd33L60Mv/aWcG/f9zs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AS1+fVAAAA&#10;BQEAAA8AAAAAAAAAAQAgAAAAIgAAAGRycy9kb3ducmV2LnhtbFBLAQIUABQAAAAIAIdO4kAXk8Cb&#10;5wEAALkDAAAOAAAAAAAAAAEAIAAAACQ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隶书" w:eastAsia="隶书"/>
          <w:b/>
          <w:sz w:val="36"/>
          <w:szCs w:val="36"/>
        </w:rPr>
        <w:t>关于下发</w:t>
      </w:r>
      <w:r>
        <w:rPr>
          <w:rFonts w:hint="eastAsia" w:ascii="隶书" w:eastAsia="隶书"/>
          <w:b/>
          <w:sz w:val="36"/>
          <w:szCs w:val="36"/>
          <w:lang w:eastAsia="zh-CN"/>
        </w:rPr>
        <w:t>瑞沃</w:t>
      </w:r>
      <w:r>
        <w:rPr>
          <w:rFonts w:hint="eastAsia" w:ascii="隶书" w:eastAsia="隶书"/>
          <w:b/>
          <w:sz w:val="36"/>
          <w:szCs w:val="36"/>
        </w:rPr>
        <w:t>工厂(诸城厂区)供应商包装器具整改计划的通知</w:t>
      </w:r>
    </w:p>
    <w:p>
      <w:pPr>
        <w:adjustRightInd w:val="0"/>
        <w:snapToGrid w:val="0"/>
        <w:spacing w:before="62" w:beforeLines="20" w:line="380" w:lineRule="exact"/>
        <w:jc w:val="center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福田知字【2021年4月】045号</w:t>
      </w:r>
    </w:p>
    <w:p>
      <w:pPr>
        <w:spacing w:line="38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各相关单位：</w:t>
      </w:r>
    </w:p>
    <w:p>
      <w:pPr>
        <w:spacing w:before="156" w:beforeLines="50" w:line="38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为提升零部件供货配送质量</w:t>
      </w:r>
      <w:r>
        <w:rPr>
          <w:rFonts w:hint="eastAsia" w:ascii="宋体" w:hAnsi="宋体"/>
          <w:szCs w:val="21"/>
        </w:rPr>
        <w:t>，减少因器具防护不到位、器具锈蚀、器具开焊、断裂缺失现象等造成器具防护质量衰减。4月21日至4月24日订单与物流部物流管理业务联合车身一部各车间、车架部，对3月份</w:t>
      </w:r>
      <w:r>
        <w:rPr>
          <w:rFonts w:ascii="宋体" w:hAnsi="宋体"/>
          <w:szCs w:val="21"/>
        </w:rPr>
        <w:t>零部件供货</w:t>
      </w:r>
      <w:r>
        <w:rPr>
          <w:rFonts w:hint="eastAsia" w:ascii="宋体" w:hAnsi="宋体"/>
          <w:szCs w:val="21"/>
        </w:rPr>
        <w:t>器具整改情况及4月份入厂器具包装防护、器具锈蚀、油污、灰尘、器具开焊、断裂缺失等现象进行了检查。本月需要整改14项，其中</w:t>
      </w:r>
      <w:r>
        <w:rPr>
          <w:rFonts w:hint="eastAsia" w:ascii="宋体" w:hAnsi="宋体" w:cs="宋体"/>
          <w:color w:val="000000"/>
          <w:kern w:val="0"/>
          <w:sz w:val="22"/>
        </w:rPr>
        <w:t>器具破损</w:t>
      </w:r>
      <w:r>
        <w:rPr>
          <w:rFonts w:hint="eastAsia" w:ascii="宋体" w:hAnsi="宋体"/>
          <w:szCs w:val="21"/>
        </w:rPr>
        <w:t>问题1项，器具锈蚀、灰尘、油污问题13项。</w:t>
      </w:r>
    </w:p>
    <w:p>
      <w:pPr>
        <w:spacing w:before="156" w:beforeLines="50" w:line="380" w:lineRule="exact"/>
        <w:ind w:firstLine="420" w:firstLineChars="200"/>
        <w:jc w:val="left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一、整改完成时间</w:t>
      </w:r>
    </w:p>
    <w:p>
      <w:pPr>
        <w:spacing w:before="156" w:beforeLines="50" w:line="38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要求供应商在5月5日前完成问题器具的维修整改，对没有整改和整改不到位的责任供应商，将依据</w:t>
      </w:r>
      <w:r>
        <w:rPr>
          <w:rFonts w:hint="eastAsia" w:ascii="宋体" w:hAnsi="宋体"/>
          <w:szCs w:val="21"/>
        </w:rPr>
        <w:t>规定标准进行索赔。</w:t>
      </w:r>
    </w:p>
    <w:p>
      <w:pPr>
        <w:spacing w:line="380" w:lineRule="exact"/>
        <w:ind w:firstLine="420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二、索赔标准</w:t>
      </w:r>
    </w:p>
    <w:p>
      <w:pPr>
        <w:spacing w:line="380" w:lineRule="exact"/>
        <w:ind w:firstLine="420" w:firstLineChars="200"/>
        <w:rPr>
          <w:rFonts w:ascii="宋体" w:hAnsi="宋体" w:cs="微软雅黑"/>
          <w:kern w:val="0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 w:cs="微软雅黑"/>
          <w:kern w:val="0"/>
          <w:szCs w:val="21"/>
        </w:rPr>
        <w:t>器具颜色不符的索赔供应商500元/个。</w:t>
      </w:r>
    </w:p>
    <w:p>
      <w:pPr>
        <w:spacing w:line="380" w:lineRule="exact"/>
        <w:ind w:firstLine="420" w:firstLineChars="200"/>
        <w:rPr>
          <w:rFonts w:ascii="宋体" w:hAnsi="宋体" w:cs="微软雅黑"/>
          <w:kern w:val="0"/>
          <w:szCs w:val="21"/>
        </w:rPr>
      </w:pPr>
      <w:r>
        <w:rPr>
          <w:rFonts w:hint="eastAsia" w:ascii="宋体" w:hAnsi="宋体" w:cs="微软雅黑"/>
          <w:kern w:val="0"/>
          <w:szCs w:val="21"/>
        </w:rPr>
        <w:t>2、摆放不规则的索赔1000元/类。</w:t>
      </w:r>
    </w:p>
    <w:p>
      <w:pPr>
        <w:spacing w:line="3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3、器具锈蚀、油污、灰尘、器具开焊、断裂缺失的索赔500元/个。</w:t>
      </w:r>
    </w:p>
    <w:p>
      <w:pPr>
        <w:spacing w:line="380" w:lineRule="exact"/>
        <w:ind w:firstLine="420" w:firstLineChars="200"/>
        <w:rPr>
          <w:rFonts w:ascii="宋体" w:hAnsi="宋体" w:cs="微软雅黑"/>
          <w:kern w:val="0"/>
          <w:szCs w:val="21"/>
        </w:rPr>
      </w:pPr>
      <w:r>
        <w:rPr>
          <w:rFonts w:hint="eastAsia" w:ascii="宋体" w:hAnsi="宋体" w:cs="微软雅黑"/>
          <w:kern w:val="0"/>
          <w:szCs w:val="21"/>
        </w:rPr>
        <w:t>4、塑料箱油污、灰尘严重、破损的索赔50元/个。</w:t>
      </w:r>
    </w:p>
    <w:p>
      <w:pPr>
        <w:spacing w:line="380" w:lineRule="exact"/>
        <w:ind w:firstLine="420" w:firstLineChars="200"/>
        <w:rPr>
          <w:rFonts w:ascii="宋体" w:hAnsi="宋体" w:cs="微软雅黑"/>
          <w:kern w:val="0"/>
          <w:szCs w:val="21"/>
        </w:rPr>
      </w:pPr>
      <w:r>
        <w:rPr>
          <w:rFonts w:hint="eastAsia" w:ascii="宋体" w:hAnsi="宋体" w:cs="微软雅黑"/>
          <w:kern w:val="0"/>
          <w:szCs w:val="21"/>
        </w:rPr>
        <w:t>5、器具表面处理不彻底敷衍刷漆影响器具外观的索赔500元/个。</w:t>
      </w:r>
    </w:p>
    <w:p>
      <w:pPr>
        <w:spacing w:line="3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微软雅黑"/>
          <w:kern w:val="0"/>
          <w:szCs w:val="21"/>
        </w:rPr>
        <w:t>6、使用“带病”器具运输的及严重破损的直接封存，工厂报废处理。</w:t>
      </w:r>
    </w:p>
    <w:p>
      <w:pPr>
        <w:spacing w:before="156" w:beforeLines="50" w:line="38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特此通知。</w:t>
      </w:r>
    </w:p>
    <w:p>
      <w:pPr>
        <w:snapToGrid w:val="0"/>
        <w:spacing w:line="276" w:lineRule="auto"/>
        <w:ind w:firstLine="315" w:firstLineChars="150"/>
        <w:jc w:val="left"/>
        <w:rPr>
          <w:rFonts w:ascii="华文细黑" w:hAnsi="华文细黑" w:eastAsia="华文细黑"/>
          <w:bCs/>
          <w:szCs w:val="32"/>
        </w:rPr>
      </w:pPr>
      <w:r>
        <w:rPr>
          <w:rFonts w:hint="eastAsia" w:ascii="华文细黑" w:hAnsi="华文细黑" w:eastAsia="华文细黑"/>
          <w:bCs/>
          <w:szCs w:val="32"/>
        </w:rPr>
        <w:t xml:space="preserve">                                                              </w:t>
      </w:r>
    </w:p>
    <w:p>
      <w:pPr>
        <w:snapToGrid w:val="0"/>
        <w:spacing w:line="276" w:lineRule="auto"/>
        <w:jc w:val="left"/>
        <w:rPr>
          <w:rFonts w:ascii="华文细黑" w:hAnsi="华文细黑" w:eastAsia="华文细黑"/>
          <w:bCs/>
          <w:szCs w:val="32"/>
        </w:rPr>
      </w:pPr>
    </w:p>
    <w:p>
      <w:pPr>
        <w:snapToGrid w:val="0"/>
        <w:spacing w:line="276" w:lineRule="auto"/>
        <w:ind w:left="5040" w:firstLine="735" w:firstLineChars="350"/>
        <w:jc w:val="left"/>
      </w:pPr>
      <w:r>
        <w:rPr>
          <w:rFonts w:hint="eastAsia"/>
        </w:rPr>
        <w:t>北汽福田汽车股份有限公司</w:t>
      </w:r>
    </w:p>
    <w:p>
      <w:pPr>
        <w:snapToGrid w:val="0"/>
        <w:spacing w:line="276" w:lineRule="auto"/>
        <w:ind w:left="4830" w:leftChars="150" w:hanging="4515" w:hangingChars="2150"/>
        <w:jc w:val="left"/>
      </w:pPr>
      <w:r>
        <w:rPr>
          <w:rFonts w:hint="eastAsia"/>
        </w:rPr>
        <w:t xml:space="preserve">                                         </w:t>
      </w:r>
      <w:r>
        <w:rPr>
          <w:rStyle w:val="4"/>
        </w:rPr>
        <w:t>时代事业部</w:t>
      </w:r>
      <w:r>
        <w:rPr>
          <w:rStyle w:val="4"/>
          <w:rFonts w:hint="eastAsia"/>
          <w:lang w:eastAsia="zh-CN"/>
        </w:rPr>
        <w:t>瑞沃</w:t>
      </w:r>
      <w:bookmarkStart w:id="0" w:name="_GoBack"/>
      <w:bookmarkEnd w:id="0"/>
      <w:r>
        <w:rPr>
          <w:rStyle w:val="4"/>
        </w:rPr>
        <w:t>工厂订单与物流部</w:t>
      </w:r>
      <w:r>
        <w:rPr>
          <w:rFonts w:hint="eastAsia"/>
        </w:rPr>
        <w:t xml:space="preserve">                                                                          2021年04月27日</w:t>
      </w:r>
      <w:r>
        <w:rPr>
          <w:rFonts w:hint="eastAsia" w:ascii="华文细黑" w:hAnsi="华文细黑" w:eastAsia="华文细黑"/>
          <w:bCs/>
          <w:szCs w:val="32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92831"/>
    <w:rsid w:val="08592831"/>
    <w:rsid w:val="7479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wspan1"/>
    <w:uiPriority w:val="0"/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2021-04-28T03:43:00Z</dcterms:created>
  <dc:creator>时光荏苒</dc:creator>
  <cp:lastModifiedBy>时光荏苒</cp:lastModifiedBy>
  <dcterms:modified xsi:type="dcterms:W3CDTF">2021-04-28T03:47:26Z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7248B0CB4D1646DD83DA7D2E3266277B</vt:lpwstr>
  </property>
</Properties>
</file>