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ascii="黑体" w:hAnsi="宋体" w:eastAsia="黑体"/>
          <w:b/>
          <w:bCs/>
          <w:kern w:val="10"/>
          <w:sz w:val="36"/>
          <w:szCs w:val="36"/>
        </w:rPr>
      </w:pPr>
    </w:p>
    <w:p>
      <w:pPr>
        <w:spacing w:line="360" w:lineRule="auto"/>
        <w:jc w:val="center"/>
        <w:rPr>
          <w:rFonts w:ascii="黑体" w:hAnsi="宋体" w:eastAsia="黑体"/>
          <w:b/>
          <w:bCs/>
          <w:kern w:val="10"/>
          <w:sz w:val="36"/>
          <w:szCs w:val="36"/>
        </w:rPr>
      </w:pPr>
      <w:r>
        <w:rPr>
          <w:rFonts w:hint="eastAsia" w:ascii="黑体" w:hAnsi="宋体" w:eastAsia="黑体"/>
          <w:b/>
          <w:bCs/>
          <w:kern w:val="10"/>
          <w:sz w:val="36"/>
          <w:szCs w:val="36"/>
        </w:rPr>
        <w:t>猎头委托服务协议书</w:t>
      </w:r>
    </w:p>
    <w:p>
      <w:pPr>
        <w:snapToGrid w:val="0"/>
        <w:spacing w:line="420" w:lineRule="exact"/>
        <w:rPr>
          <w:rFonts w:ascii="楷体_GB2312" w:hAnsi="宋体" w:eastAsia="楷体_GB2312"/>
          <w:sz w:val="24"/>
        </w:rPr>
      </w:pPr>
      <w:r>
        <w:rPr>
          <w:rFonts w:hint="eastAsia" w:ascii="楷体_GB2312" w:hAnsi="宋体" w:eastAsia="楷体_GB2312"/>
          <w:sz w:val="24"/>
        </w:rPr>
        <w:t>甲方：北京光华荣昌汽车部件有限公司</w:t>
      </w:r>
    </w:p>
    <w:p>
      <w:pPr>
        <w:snapToGrid w:val="0"/>
        <w:spacing w:line="420" w:lineRule="exact"/>
        <w:rPr>
          <w:rFonts w:ascii="楷体_GB2312" w:hAnsi="宋体" w:eastAsia="楷体_GB2312"/>
          <w:sz w:val="24"/>
        </w:rPr>
      </w:pPr>
      <w:r>
        <w:rPr>
          <w:rFonts w:hint="eastAsia" w:ascii="楷体_GB2312" w:hAnsi="宋体" w:eastAsia="楷体_GB2312"/>
          <w:sz w:val="24"/>
        </w:rPr>
        <w:t>乙方：深圳市一览网络股份有限公司武汉分公司</w:t>
      </w:r>
    </w:p>
    <w:p>
      <w:pPr>
        <w:snapToGrid w:val="0"/>
        <w:spacing w:line="420" w:lineRule="exact"/>
        <w:rPr>
          <w:rFonts w:ascii="楷体_GB2312" w:hAnsi="宋体" w:eastAsia="楷体_GB2312"/>
          <w:sz w:val="24"/>
        </w:rPr>
      </w:pPr>
      <w:r>
        <w:rPr>
          <w:rFonts w:hint="eastAsia" w:ascii="楷体_GB2312" w:hAnsi="宋体" w:eastAsia="楷体_GB2312"/>
          <w:sz w:val="24"/>
        </w:rPr>
        <w:t xml:space="preserve">      一览英才网（</w:t>
      </w:r>
      <w:r>
        <w:fldChar w:fldCharType="begin"/>
      </w:r>
      <w:r>
        <w:instrText xml:space="preserve"> HYPERLINK "http://www.job1001.com）旗下" </w:instrText>
      </w:r>
      <w:r>
        <w:fldChar w:fldCharType="separate"/>
      </w:r>
      <w:r>
        <w:rPr>
          <w:rStyle w:val="14"/>
          <w:rFonts w:hint="eastAsia" w:ascii="楷体_GB2312" w:hAnsi="宋体" w:eastAsia="楷体_GB2312"/>
          <w:color w:val="auto"/>
          <w:sz w:val="24"/>
        </w:rPr>
        <w:t>www.job1001.com）旗下</w:t>
      </w:r>
      <w:r>
        <w:rPr>
          <w:rStyle w:val="14"/>
          <w:rFonts w:hint="eastAsia" w:ascii="楷体_GB2312" w:hAnsi="宋体" w:eastAsia="楷体_GB2312"/>
          <w:color w:val="auto"/>
          <w:sz w:val="24"/>
        </w:rPr>
        <w:fldChar w:fldCharType="end"/>
      </w:r>
      <w:r>
        <w:rPr>
          <w:rFonts w:hint="eastAsia" w:ascii="楷体_GB2312" w:hAnsi="宋体" w:eastAsia="楷体_GB2312"/>
          <w:sz w:val="24"/>
          <w:u w:val="single"/>
        </w:rPr>
        <w:t xml:space="preserve">  猎头部 </w:t>
      </w:r>
    </w:p>
    <w:p>
      <w:pPr>
        <w:snapToGrid w:val="0"/>
        <w:spacing w:line="420" w:lineRule="exact"/>
        <w:ind w:firstLine="600" w:firstLineChars="250"/>
        <w:rPr>
          <w:rFonts w:ascii="楷体_GB2312" w:hAnsi="宋体" w:eastAsia="楷体_GB2312"/>
          <w:sz w:val="24"/>
        </w:rPr>
      </w:pPr>
      <w:r>
        <w:rPr>
          <w:rFonts w:hint="eastAsia" w:ascii="楷体_GB2312" w:hAnsi="宋体" w:eastAsia="楷体_GB2312"/>
          <w:sz w:val="24"/>
        </w:rPr>
        <w:t>甲方因企业发展需要，招聘企业人才，委托乙方提供相关人才信息。甲乙双方经友好协商，按照平等自愿、诚信守法的原则，签订以下合同条款，以资共同遵守：</w:t>
      </w:r>
    </w:p>
    <w:p>
      <w:pPr>
        <w:spacing w:line="400" w:lineRule="exact"/>
        <w:jc w:val="left"/>
        <w:rPr>
          <w:rFonts w:ascii="宋体" w:hAnsi="宋体"/>
          <w:b/>
          <w:snapToGrid w:val="0"/>
          <w:kern w:val="16"/>
          <w:szCs w:val="21"/>
        </w:rPr>
      </w:pPr>
      <w:r>
        <w:rPr>
          <w:rFonts w:hint="eastAsia" w:ascii="宋体" w:hAnsi="宋体"/>
          <w:b/>
          <w:snapToGrid w:val="0"/>
          <w:kern w:val="16"/>
          <w:szCs w:val="21"/>
        </w:rPr>
        <w:t>第一条  甲方的权利与义务</w:t>
      </w:r>
    </w:p>
    <w:p>
      <w:pPr>
        <w:snapToGrid w:val="0"/>
        <w:spacing w:line="400" w:lineRule="exact"/>
        <w:ind w:firstLine="540" w:firstLineChars="225"/>
        <w:rPr>
          <w:rFonts w:ascii="楷体_GB2312" w:hAnsi="宋体" w:eastAsia="楷体_GB2312"/>
          <w:sz w:val="24"/>
        </w:rPr>
      </w:pPr>
      <w:r>
        <w:rPr>
          <w:rFonts w:hint="eastAsia" w:ascii="楷体_GB2312" w:hAnsi="宋体" w:eastAsia="楷体_GB2312"/>
          <w:sz w:val="24"/>
        </w:rPr>
        <w:t>1、甲方需向乙方提供真实有效营业执照复印件及本单位有关情况和招聘职位的相关详细信息，填写附件1《企业概况》，并指定一名甲方工作人员专门负责相关事宜；</w:t>
      </w:r>
    </w:p>
    <w:p>
      <w:pPr>
        <w:snapToGrid w:val="0"/>
        <w:spacing w:line="400" w:lineRule="exact"/>
        <w:ind w:firstLine="540" w:firstLineChars="225"/>
        <w:rPr>
          <w:rFonts w:ascii="楷体_GB2312" w:hAnsi="宋体" w:eastAsia="楷体_GB2312"/>
          <w:sz w:val="24"/>
        </w:rPr>
      </w:pPr>
      <w:r>
        <w:rPr>
          <w:rFonts w:hint="eastAsia" w:ascii="楷体_GB2312" w:hAnsi="宋体" w:eastAsia="楷体_GB2312"/>
          <w:sz w:val="24"/>
        </w:rPr>
        <w:t>2、填写乙方提供的附件2《职位说明书》，向乙方详细说明拟招聘职位的工作职责、工作内容、任职资格、岗位权限、合同期限、工作地点、工作时间与休息休假等，承诺该岗位候选人的劳动报酬范围、福利待遇、支付方式与时间以及社会保险。如对候选人搜寻范围有特殊要求的，应在《职位说明书》中予以明确。《职位说明书》作为本协议的组成部分，与本协议具有同等法律效力；</w:t>
      </w:r>
    </w:p>
    <w:p>
      <w:pPr>
        <w:snapToGrid w:val="0"/>
        <w:spacing w:line="400" w:lineRule="exact"/>
        <w:ind w:firstLine="540" w:firstLineChars="225"/>
        <w:rPr>
          <w:rFonts w:ascii="楷体_GB2312" w:hAnsi="宋体" w:eastAsia="楷体_GB2312"/>
          <w:sz w:val="24"/>
        </w:rPr>
      </w:pPr>
      <w:r>
        <w:rPr>
          <w:rFonts w:hint="eastAsia" w:ascii="楷体_GB2312" w:hAnsi="宋体" w:eastAsia="楷体_GB2312"/>
          <w:sz w:val="24"/>
        </w:rPr>
        <w:t>3、认真审核乙方提供的候选人材料，在收到候选人信息之日起的七日内确定是否进行面试，并通知乙方。未经乙方同意，不得私自与候选人接触或对候选人展开调查，否则乙方有权不履行所有本协议项下的义务；</w:t>
      </w:r>
    </w:p>
    <w:p>
      <w:pPr>
        <w:snapToGrid w:val="0"/>
        <w:spacing w:line="400" w:lineRule="exact"/>
        <w:ind w:firstLine="540" w:firstLineChars="225"/>
        <w:rPr>
          <w:rFonts w:ascii="楷体_GB2312" w:hAnsi="宋体" w:eastAsia="楷体_GB2312"/>
          <w:sz w:val="24"/>
        </w:rPr>
      </w:pPr>
      <w:r>
        <w:rPr>
          <w:rFonts w:hint="eastAsia" w:ascii="楷体_GB2312" w:hAnsi="宋体" w:eastAsia="楷体_GB2312"/>
          <w:sz w:val="24"/>
        </w:rPr>
        <w:t>4、甲方应在面试后七日内确定是否录用候选人，并将面试意见和面试结果</w:t>
      </w:r>
      <w:r>
        <w:rPr>
          <w:rFonts w:hint="eastAsia" w:ascii="楷体_GB2312" w:hAnsi="仿宋" w:eastAsia="楷体_GB2312"/>
          <w:sz w:val="24"/>
        </w:rPr>
        <w:t>以书面的形式</w:t>
      </w:r>
      <w:r>
        <w:rPr>
          <w:rFonts w:hint="eastAsia" w:ascii="楷体_GB2312" w:hAnsi="宋体" w:eastAsia="楷体_GB2312"/>
          <w:sz w:val="24"/>
        </w:rPr>
        <w:t>告知乙方。如遇特殊原因需延长决定时间的，应事先通知乙方，但甲方最迟应在面试后的十五日内做出相关决定；</w:t>
      </w:r>
    </w:p>
    <w:p>
      <w:pPr>
        <w:snapToGrid w:val="0"/>
        <w:spacing w:line="400" w:lineRule="exact"/>
        <w:ind w:firstLine="540" w:firstLineChars="225"/>
        <w:rPr>
          <w:rFonts w:ascii="楷体_GB2312" w:hAnsi="宋体" w:eastAsia="楷体_GB2312"/>
          <w:sz w:val="24"/>
        </w:rPr>
      </w:pPr>
      <w:r>
        <w:rPr>
          <w:rFonts w:hint="eastAsia" w:ascii="楷体_GB2312" w:hAnsi="宋体" w:eastAsia="楷体_GB2312"/>
          <w:sz w:val="24"/>
        </w:rPr>
        <w:t>5、甲方在发现乙方提供的候选人资料与甲方从其他渠道获取的资料重合时，应在3个工作日内告知乙方，超过此时限甲方未告知的，视为乙方提供资料。</w:t>
      </w:r>
    </w:p>
    <w:p>
      <w:pPr>
        <w:snapToGrid w:val="0"/>
        <w:spacing w:line="400" w:lineRule="exact"/>
        <w:ind w:firstLine="540" w:firstLineChars="225"/>
        <w:rPr>
          <w:rFonts w:ascii="楷体_GB2312" w:hAnsi="宋体" w:eastAsia="楷体_GB2312"/>
          <w:sz w:val="24"/>
        </w:rPr>
      </w:pPr>
      <w:r>
        <w:rPr>
          <w:rFonts w:hint="eastAsia" w:ascii="楷体_GB2312" w:hAnsi="宋体" w:eastAsia="楷体_GB2312"/>
          <w:sz w:val="24"/>
        </w:rPr>
        <w:t>6、甲方确定聘用人选后，按国家规定与受聘人员签订劳动合同，并以《聘用/录用通知书》的形式告知乙方。通知方式包括但不限于书面形式、传真件形式、邮件形式等；</w:t>
      </w:r>
    </w:p>
    <w:p>
      <w:pPr>
        <w:spacing w:line="400" w:lineRule="exact"/>
        <w:ind w:firstLine="480" w:firstLineChars="200"/>
        <w:rPr>
          <w:rFonts w:ascii="楷体_GB2312" w:hAnsi="仿宋" w:eastAsia="楷体_GB2312"/>
          <w:sz w:val="24"/>
        </w:rPr>
      </w:pPr>
      <w:r>
        <w:rPr>
          <w:rFonts w:hint="eastAsia" w:ascii="楷体_GB2312" w:hAnsi="仿宋" w:eastAsia="楷体_GB2312"/>
          <w:sz w:val="24"/>
        </w:rPr>
        <w:t>7、甲方应及时向乙方支付服务费用。</w:t>
      </w:r>
    </w:p>
    <w:p>
      <w:pPr>
        <w:spacing w:line="400" w:lineRule="exact"/>
        <w:jc w:val="left"/>
        <w:rPr>
          <w:rFonts w:ascii="宋体" w:hAnsi="宋体"/>
          <w:b/>
          <w:snapToGrid w:val="0"/>
          <w:kern w:val="16"/>
          <w:szCs w:val="21"/>
        </w:rPr>
      </w:pPr>
      <w:r>
        <w:rPr>
          <w:rFonts w:hint="eastAsia" w:ascii="宋体" w:hAnsi="宋体"/>
          <w:b/>
          <w:snapToGrid w:val="0"/>
          <w:kern w:val="16"/>
          <w:szCs w:val="21"/>
        </w:rPr>
        <w:t>第二条  乙方的权利与义务</w:t>
      </w:r>
    </w:p>
    <w:p>
      <w:pPr>
        <w:snapToGrid w:val="0"/>
        <w:spacing w:line="400" w:lineRule="exact"/>
        <w:ind w:firstLine="540" w:firstLineChars="225"/>
        <w:rPr>
          <w:rFonts w:ascii="楷体_GB2312" w:hAnsi="宋体" w:eastAsia="楷体_GB2312"/>
          <w:sz w:val="24"/>
        </w:rPr>
      </w:pPr>
      <w:r>
        <w:rPr>
          <w:rFonts w:hint="eastAsia" w:ascii="楷体_GB2312" w:hAnsi="宋体" w:eastAsia="楷体_GB2312"/>
          <w:sz w:val="24"/>
        </w:rPr>
        <w:t>1、乙方在不涉及个人隐私和其他第三方权益的前提下，尽可能向甲方提供候选人的详尽资料，以备甲方参考。乙方保证候选人评估报告所提供的信息真实无误；</w:t>
      </w:r>
    </w:p>
    <w:p>
      <w:pPr>
        <w:snapToGrid w:val="0"/>
        <w:spacing w:line="400" w:lineRule="exact"/>
        <w:ind w:firstLine="540" w:firstLineChars="225"/>
        <w:rPr>
          <w:rFonts w:ascii="楷体_GB2312" w:hAnsi="宋体" w:eastAsia="楷体_GB2312"/>
          <w:sz w:val="24"/>
        </w:rPr>
      </w:pPr>
      <w:r>
        <w:rPr>
          <w:rFonts w:hint="eastAsia" w:ascii="楷体_GB2312" w:hAnsi="宋体" w:eastAsia="楷体_GB2312"/>
          <w:sz w:val="24"/>
        </w:rPr>
        <w:t>2、若乙方举荐的候选人不符合甲方要求或甲方不同意对乙方举荐的候选人进行面试的，在服务期内乙方继续举荐新的候选人给甲方，甲方对乙方提供的候选人无正当理由予以拒绝的除外；</w:t>
      </w:r>
    </w:p>
    <w:p>
      <w:pPr>
        <w:snapToGrid w:val="0"/>
        <w:spacing w:line="400" w:lineRule="exact"/>
        <w:ind w:firstLine="540" w:firstLineChars="225"/>
        <w:rPr>
          <w:rFonts w:ascii="楷体_GB2312" w:hAnsi="宋体" w:eastAsia="楷体_GB2312"/>
          <w:sz w:val="24"/>
        </w:rPr>
      </w:pPr>
      <w:r>
        <w:rPr>
          <w:rFonts w:hint="eastAsia" w:ascii="楷体_GB2312" w:hAnsi="宋体" w:eastAsia="楷体_GB2312"/>
          <w:sz w:val="24"/>
        </w:rPr>
        <w:t>3、若乙方举荐的受聘人员在保证期内自行离职，乙方收到甲方书面通知之日起的三十日内免费再向甲方提供后备人选上岗一次；</w:t>
      </w:r>
    </w:p>
    <w:p>
      <w:pPr>
        <w:snapToGrid w:val="0"/>
        <w:spacing w:line="400" w:lineRule="exact"/>
        <w:ind w:firstLine="540" w:firstLineChars="225"/>
        <w:rPr>
          <w:rFonts w:ascii="楷体_GB2312" w:hAnsi="宋体" w:eastAsia="楷体_GB2312"/>
          <w:sz w:val="24"/>
        </w:rPr>
      </w:pPr>
      <w:r>
        <w:rPr>
          <w:rFonts w:hint="eastAsia" w:ascii="楷体_GB2312" w:hAnsi="宋体" w:eastAsia="楷体_GB2312"/>
          <w:sz w:val="24"/>
        </w:rPr>
        <w:t>4、乙方依法开展信息咨询服务工作，不向除候选人外的其他第三方透露甲方信息；</w:t>
      </w:r>
    </w:p>
    <w:p>
      <w:pPr>
        <w:snapToGrid w:val="0"/>
        <w:spacing w:line="400" w:lineRule="exact"/>
        <w:ind w:firstLine="540" w:firstLineChars="225"/>
        <w:rPr>
          <w:rFonts w:ascii="楷体_GB2312" w:hAnsi="宋体" w:eastAsia="楷体_GB2312"/>
          <w:sz w:val="24"/>
        </w:rPr>
      </w:pPr>
      <w:r>
        <w:rPr>
          <w:rFonts w:hint="eastAsia" w:ascii="楷体_GB2312" w:hAnsi="宋体" w:eastAsia="楷体_GB2312"/>
          <w:sz w:val="24"/>
        </w:rPr>
        <w:t>5、</w:t>
      </w:r>
      <w:r>
        <w:rPr>
          <w:rFonts w:hint="eastAsia" w:ascii="楷体_GB2312" w:hAnsi="宋体" w:eastAsia="楷体_GB2312"/>
          <w:snapToGrid w:val="0"/>
          <w:kern w:val="16"/>
          <w:sz w:val="24"/>
        </w:rPr>
        <w:t>应甲方要求，需要乙方陪同候选人到甲方考察或陪同甲方赴异地对候选人进行面试，乙方应予以安排，但甲方需负责乙方和候选人的往返差旅费（含交通、住宿和正餐费等）。</w:t>
      </w:r>
    </w:p>
    <w:p>
      <w:pPr>
        <w:tabs>
          <w:tab w:val="left" w:pos="1575"/>
        </w:tabs>
        <w:spacing w:line="400" w:lineRule="exact"/>
        <w:jc w:val="left"/>
        <w:rPr>
          <w:rFonts w:ascii="宋体" w:hAnsi="宋体"/>
          <w:b/>
          <w:bCs/>
          <w:kern w:val="16"/>
          <w:szCs w:val="21"/>
        </w:rPr>
      </w:pPr>
      <w:r>
        <w:rPr>
          <w:rFonts w:hint="eastAsia" w:ascii="宋体" w:hAnsi="宋体"/>
          <w:b/>
          <w:bCs/>
          <w:kern w:val="16"/>
          <w:szCs w:val="21"/>
        </w:rPr>
        <w:t>第三条  甲方招聘岗位及委托期限</w:t>
      </w:r>
    </w:p>
    <w:p>
      <w:pPr>
        <w:snapToGrid w:val="0"/>
        <w:spacing w:line="400" w:lineRule="exact"/>
        <w:ind w:firstLine="540" w:firstLineChars="225"/>
        <w:rPr>
          <w:rFonts w:ascii="楷体_GB2312" w:hAnsi="宋体" w:eastAsia="楷体_GB2312"/>
          <w:sz w:val="24"/>
        </w:rPr>
      </w:pPr>
      <w:r>
        <w:rPr>
          <w:rFonts w:hint="eastAsia" w:ascii="楷体_GB2312" w:hAnsi="宋体" w:eastAsia="楷体_GB2312"/>
          <w:sz w:val="24"/>
        </w:rPr>
        <w:t>1、甲方委托推荐年薪15万以上职位，职位的要求与薪资福利等见附件《职位说明书》；</w:t>
      </w:r>
    </w:p>
    <w:p>
      <w:pPr>
        <w:snapToGrid w:val="0"/>
        <w:spacing w:line="400" w:lineRule="exact"/>
        <w:ind w:firstLine="540" w:firstLineChars="225"/>
        <w:rPr>
          <w:rFonts w:ascii="楷体_GB2312" w:hAnsi="宋体" w:eastAsia="楷体_GB2312"/>
          <w:sz w:val="24"/>
        </w:rPr>
      </w:pPr>
      <w:r>
        <w:rPr>
          <w:rFonts w:hint="eastAsia" w:ascii="楷体_GB2312" w:hAnsi="宋体" w:eastAsia="楷体_GB2312"/>
          <w:sz w:val="24"/>
        </w:rPr>
        <w:t>2、本协议价格自生效之日起有效期为一年，期满后双方如均有意愿可续签。</w:t>
      </w:r>
    </w:p>
    <w:p>
      <w:pPr>
        <w:spacing w:line="400" w:lineRule="exact"/>
        <w:jc w:val="left"/>
        <w:rPr>
          <w:rFonts w:ascii="宋体" w:hAnsi="宋体"/>
          <w:b/>
          <w:snapToGrid w:val="0"/>
          <w:kern w:val="16"/>
          <w:szCs w:val="21"/>
        </w:rPr>
      </w:pPr>
      <w:r>
        <w:rPr>
          <w:rFonts w:hint="eastAsia" w:ascii="宋体" w:hAnsi="宋体"/>
          <w:b/>
          <w:bCs/>
          <w:kern w:val="16"/>
          <w:szCs w:val="21"/>
        </w:rPr>
        <w:t xml:space="preserve">第四条  </w:t>
      </w:r>
      <w:r>
        <w:rPr>
          <w:rFonts w:hint="eastAsia" w:ascii="宋体" w:hAnsi="宋体"/>
          <w:b/>
          <w:snapToGrid w:val="0"/>
          <w:kern w:val="16"/>
          <w:szCs w:val="21"/>
        </w:rPr>
        <w:t>收费标准与付款方式</w:t>
      </w:r>
    </w:p>
    <w:p>
      <w:pPr>
        <w:numPr>
          <w:ilvl w:val="0"/>
          <w:numId w:val="1"/>
        </w:numPr>
        <w:snapToGrid w:val="0"/>
        <w:spacing w:line="400" w:lineRule="exact"/>
        <w:rPr>
          <w:rFonts w:ascii="楷体_GB2312" w:hAnsi="宋体" w:eastAsia="楷体_GB2312"/>
          <w:sz w:val="24"/>
        </w:rPr>
      </w:pPr>
      <w:r>
        <w:rPr>
          <w:rFonts w:hint="eastAsia" w:ascii="楷体_GB2312" w:hAnsi="宋体" w:eastAsia="楷体_GB2312"/>
          <w:sz w:val="24"/>
        </w:rPr>
        <w:t>收费标准：</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2280"/>
        <w:gridCol w:w="2160"/>
        <w:gridCol w:w="3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334" w:type="dxa"/>
            <w:vAlign w:val="center"/>
          </w:tcPr>
          <w:p>
            <w:pPr>
              <w:snapToGrid w:val="0"/>
              <w:spacing w:line="400" w:lineRule="exact"/>
              <w:jc w:val="center"/>
              <w:rPr>
                <w:rFonts w:hint="eastAsia" w:ascii="楷体_GB2312" w:hAnsi="宋体" w:eastAsia="楷体_GB2312"/>
                <w:sz w:val="24"/>
                <w:lang w:val="en-US" w:eastAsia="zh-CN"/>
              </w:rPr>
            </w:pPr>
            <w:r>
              <w:rPr>
                <w:rFonts w:hint="eastAsia" w:ascii="楷体_GB2312" w:hAnsi="宋体" w:eastAsia="楷体_GB2312"/>
                <w:sz w:val="24"/>
                <w:lang w:val="en-US" w:eastAsia="zh-CN"/>
              </w:rPr>
              <w:t>类型</w:t>
            </w:r>
          </w:p>
        </w:tc>
        <w:tc>
          <w:tcPr>
            <w:tcW w:w="2280" w:type="dxa"/>
            <w:vAlign w:val="center"/>
          </w:tcPr>
          <w:p>
            <w:pPr>
              <w:snapToGrid w:val="0"/>
              <w:spacing w:line="400" w:lineRule="exact"/>
              <w:jc w:val="center"/>
              <w:rPr>
                <w:rFonts w:ascii="楷体_GB2312" w:hAnsi="宋体" w:eastAsia="楷体_GB2312"/>
                <w:sz w:val="24"/>
              </w:rPr>
            </w:pPr>
            <w:r>
              <w:rPr>
                <w:rFonts w:hint="eastAsia" w:ascii="楷体_GB2312" w:hAnsi="宋体" w:eastAsia="楷体_GB2312"/>
                <w:sz w:val="24"/>
              </w:rPr>
              <w:t>标准费用（元/人）</w:t>
            </w:r>
          </w:p>
        </w:tc>
        <w:tc>
          <w:tcPr>
            <w:tcW w:w="2160" w:type="dxa"/>
            <w:vAlign w:val="center"/>
          </w:tcPr>
          <w:p>
            <w:pPr>
              <w:snapToGrid w:val="0"/>
              <w:spacing w:line="400" w:lineRule="exact"/>
              <w:jc w:val="center"/>
              <w:rPr>
                <w:rFonts w:ascii="楷体_GB2312" w:hAnsi="宋体" w:eastAsia="楷体_GB2312"/>
                <w:sz w:val="24"/>
              </w:rPr>
            </w:pPr>
            <w:r>
              <w:rPr>
                <w:rFonts w:hint="eastAsia" w:ascii="楷体_GB2312" w:hAnsi="宋体" w:eastAsia="楷体_GB2312"/>
                <w:sz w:val="24"/>
              </w:rPr>
              <w:t>数量</w:t>
            </w:r>
          </w:p>
        </w:tc>
        <w:tc>
          <w:tcPr>
            <w:tcW w:w="3344" w:type="dxa"/>
            <w:vAlign w:val="center"/>
          </w:tcPr>
          <w:p>
            <w:pPr>
              <w:snapToGrid w:val="0"/>
              <w:spacing w:line="400" w:lineRule="exact"/>
              <w:jc w:val="center"/>
              <w:rPr>
                <w:rFonts w:ascii="楷体_GB2312" w:hAnsi="宋体" w:eastAsia="楷体_GB2312"/>
                <w:sz w:val="24"/>
              </w:rPr>
            </w:pPr>
            <w:r>
              <w:rPr>
                <w:rFonts w:hint="eastAsia" w:ascii="楷体_GB2312" w:hAnsi="宋体" w:eastAsia="楷体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334" w:type="dxa"/>
            <w:vAlign w:val="center"/>
          </w:tcPr>
          <w:p>
            <w:pPr>
              <w:snapToGrid w:val="0"/>
              <w:spacing w:line="400" w:lineRule="exact"/>
              <w:jc w:val="center"/>
              <w:rPr>
                <w:rFonts w:hint="eastAsia" w:ascii="楷体_GB2312" w:eastAsia="楷体_GB2312"/>
                <w:sz w:val="24"/>
                <w:lang w:eastAsia="zh-CN"/>
              </w:rPr>
            </w:pPr>
            <w:r>
              <w:rPr>
                <w:rFonts w:hint="eastAsia" w:ascii="楷体_GB2312" w:eastAsia="楷体_GB2312"/>
                <w:sz w:val="24"/>
                <w:lang w:eastAsia="zh-CN"/>
              </w:rPr>
              <w:t>猎头</w:t>
            </w:r>
          </w:p>
        </w:tc>
        <w:tc>
          <w:tcPr>
            <w:tcW w:w="2280" w:type="dxa"/>
            <w:vAlign w:val="center"/>
          </w:tcPr>
          <w:p>
            <w:pPr>
              <w:snapToGrid w:val="0"/>
              <w:spacing w:line="400" w:lineRule="exact"/>
              <w:jc w:val="center"/>
              <w:rPr>
                <w:rFonts w:ascii="楷体_GB2312" w:eastAsia="楷体_GB2312"/>
                <w:sz w:val="24"/>
              </w:rPr>
            </w:pPr>
            <w:r>
              <w:rPr>
                <w:rFonts w:hint="eastAsia" w:ascii="楷体_GB2312" w:eastAsia="楷体_GB2312"/>
                <w:sz w:val="24"/>
              </w:rPr>
              <w:t>该职位年薪的2</w:t>
            </w:r>
            <w:r>
              <w:rPr>
                <w:rFonts w:hint="eastAsia" w:ascii="楷体_GB2312" w:eastAsia="楷体_GB2312"/>
                <w:sz w:val="24"/>
                <w:lang w:val="en-US" w:eastAsia="zh-CN"/>
              </w:rPr>
              <w:t>0</w:t>
            </w:r>
            <w:r>
              <w:rPr>
                <w:rFonts w:hint="eastAsia" w:ascii="楷体_GB2312" w:eastAsia="楷体_GB2312"/>
                <w:sz w:val="24"/>
              </w:rPr>
              <w:t>%</w:t>
            </w:r>
          </w:p>
        </w:tc>
        <w:tc>
          <w:tcPr>
            <w:tcW w:w="2160" w:type="dxa"/>
            <w:vAlign w:val="center"/>
          </w:tcPr>
          <w:p>
            <w:pPr>
              <w:snapToGrid w:val="0"/>
              <w:spacing w:line="400" w:lineRule="exact"/>
              <w:jc w:val="center"/>
              <w:rPr>
                <w:rFonts w:ascii="楷体_GB2312" w:hAnsi="楷体_GB2312" w:eastAsia="楷体_GB2312"/>
                <w:color w:val="000000"/>
                <w:sz w:val="24"/>
              </w:rPr>
            </w:pPr>
            <w:r>
              <w:rPr>
                <w:rFonts w:ascii="楷体_GB2312" w:hAnsi="楷体_GB2312" w:eastAsia="楷体_GB2312"/>
                <w:color w:val="000000"/>
                <w:sz w:val="24"/>
              </w:rPr>
              <w:t>以实际入职为准</w:t>
            </w:r>
          </w:p>
          <w:p>
            <w:pPr>
              <w:snapToGrid w:val="0"/>
              <w:spacing w:line="400" w:lineRule="exact"/>
              <w:jc w:val="center"/>
              <w:rPr>
                <w:rFonts w:ascii="楷体_GB2312" w:hAnsi="楷体_GB2312" w:eastAsia="楷体_GB2312"/>
                <w:color w:val="000000"/>
                <w:sz w:val="24"/>
              </w:rPr>
            </w:pPr>
          </w:p>
        </w:tc>
        <w:tc>
          <w:tcPr>
            <w:tcW w:w="3344" w:type="dxa"/>
            <w:vAlign w:val="center"/>
          </w:tcPr>
          <w:p>
            <w:pPr>
              <w:autoSpaceDN w:val="0"/>
              <w:jc w:val="center"/>
              <w:textAlignment w:val="center"/>
              <w:rPr>
                <w:rFonts w:ascii="楷体_GB2312" w:hAnsi="楷体_GB2312" w:eastAsia="楷体_GB2312"/>
                <w:color w:val="000000"/>
                <w:sz w:val="24"/>
              </w:rPr>
            </w:pPr>
            <w:r>
              <w:rPr>
                <w:rFonts w:hint="eastAsia" w:ascii="楷体_GB2312" w:hAnsi="楷体_GB2312" w:eastAsia="楷体_GB2312"/>
                <w:color w:val="000000"/>
                <w:sz w:val="24"/>
              </w:rPr>
              <w:t>如实际年薪低于下限10万，按最低收费标准3万收取服务费</w:t>
            </w:r>
          </w:p>
          <w:p>
            <w:pPr>
              <w:autoSpaceDN w:val="0"/>
              <w:jc w:val="center"/>
              <w:textAlignment w:val="center"/>
              <w:rPr>
                <w:rFonts w:ascii="楷体_GB2312" w:hAnsi="楷体_GB2312" w:eastAsia="楷体_GB2312"/>
                <w:color w:val="000000"/>
                <w:sz w:val="24"/>
              </w:rPr>
            </w:pPr>
          </w:p>
          <w:p>
            <w:pPr>
              <w:autoSpaceDN w:val="0"/>
              <w:jc w:val="center"/>
              <w:textAlignment w:val="center"/>
              <w:rPr>
                <w:rFonts w:ascii="楷体_GB2312" w:hAnsi="楷体_GB2312" w:eastAsia="楷体_GB2312"/>
                <w:color w:val="000000"/>
                <w:sz w:val="24"/>
              </w:rPr>
            </w:pPr>
          </w:p>
        </w:tc>
      </w:tr>
    </w:tbl>
    <w:p>
      <w:pPr>
        <w:snapToGrid w:val="0"/>
        <w:spacing w:line="400" w:lineRule="exact"/>
        <w:ind w:firstLine="720" w:firstLineChars="300"/>
        <w:rPr>
          <w:rFonts w:ascii="楷体_GB2312" w:hAnsi="宋体" w:eastAsia="楷体_GB2312"/>
          <w:sz w:val="24"/>
        </w:rPr>
      </w:pPr>
      <w:r>
        <w:rPr>
          <w:rFonts w:hint="eastAsia" w:ascii="楷体_GB2312" w:hAnsi="宋体" w:eastAsia="楷体_GB2312"/>
          <w:sz w:val="24"/>
        </w:rPr>
        <w:t>2、服务费支付方式：</w:t>
      </w:r>
    </w:p>
    <w:p>
      <w:pPr>
        <w:snapToGrid w:val="0"/>
        <w:spacing w:line="400" w:lineRule="exact"/>
        <w:ind w:firstLine="540" w:firstLineChars="225"/>
        <w:rPr>
          <w:rFonts w:ascii="楷体_GB2312" w:hAnsi="宋体" w:eastAsia="楷体_GB2312"/>
          <w:sz w:val="24"/>
        </w:rPr>
      </w:pPr>
      <w:r>
        <w:rPr>
          <w:rFonts w:hint="eastAsia" w:ascii="楷体_GB2312" w:hAnsi="宋体" w:eastAsia="楷体_GB2312"/>
          <w:sz w:val="24"/>
        </w:rPr>
        <w:t>（1）</w:t>
      </w:r>
      <w:r>
        <w:rPr>
          <w:rFonts w:hint="eastAsia" w:ascii="楷体_GB2312" w:hAnsi="仿宋" w:eastAsia="楷体_GB2312"/>
          <w:sz w:val="24"/>
        </w:rPr>
        <w:t>本协议签订之日起的三个工作日内，甲方向乙方支付</w:t>
      </w:r>
      <w:r>
        <w:rPr>
          <w:rFonts w:hint="eastAsia" w:ascii="楷体_GB2312" w:hAnsi="仿宋" w:eastAsia="楷体_GB2312"/>
          <w:sz w:val="24"/>
          <w:u w:val="single"/>
        </w:rPr>
        <w:t>0</w:t>
      </w:r>
      <w:r>
        <w:rPr>
          <w:rFonts w:hint="eastAsia" w:ascii="楷体_GB2312" w:hAnsi="仿宋" w:eastAsia="楷体_GB2312"/>
          <w:sz w:val="24"/>
        </w:rPr>
        <w:t>%的服务费作为启动金（启动金不予退还）</w:t>
      </w:r>
      <w:r>
        <w:rPr>
          <w:rFonts w:hint="eastAsia" w:ascii="楷体_GB2312" w:hAnsi="宋体" w:eastAsia="楷体_GB2312"/>
          <w:sz w:val="24"/>
        </w:rPr>
        <w:t>，启动金额计人民币（大写）</w:t>
      </w:r>
      <w:r>
        <w:rPr>
          <w:rFonts w:hint="eastAsia" w:ascii="楷体_GB2312" w:hAnsi="宋体" w:eastAsia="楷体_GB2312"/>
          <w:sz w:val="24"/>
          <w:u w:val="single"/>
        </w:rPr>
        <w:t xml:space="preserve">   零圆整    </w:t>
      </w:r>
      <w:r>
        <w:rPr>
          <w:rFonts w:hint="eastAsia" w:ascii="楷体_GB2312" w:hAnsi="宋体" w:eastAsia="楷体_GB2312"/>
          <w:sz w:val="24"/>
        </w:rPr>
        <w:t>，小写</w:t>
      </w:r>
      <w:r>
        <w:rPr>
          <w:rFonts w:hint="eastAsia" w:ascii="楷体_GB2312" w:hAnsi="宋体" w:eastAsia="楷体_GB2312"/>
          <w:sz w:val="24"/>
          <w:u w:val="single"/>
        </w:rPr>
        <w:t xml:space="preserve">     0   </w:t>
      </w:r>
      <w:r>
        <w:rPr>
          <w:rFonts w:hint="eastAsia" w:ascii="楷体_GB2312" w:hAnsi="宋体" w:eastAsia="楷体_GB2312"/>
          <w:sz w:val="24"/>
        </w:rPr>
        <w:t>元，启动金在第一个职位人选上岗时可冲抵服务费，第一个职位成功合作后，其他职位将不再收取启动金；</w:t>
      </w:r>
    </w:p>
    <w:p>
      <w:pPr>
        <w:snapToGrid w:val="0"/>
        <w:spacing w:line="400" w:lineRule="exact"/>
        <w:ind w:firstLine="540" w:firstLineChars="225"/>
        <w:rPr>
          <w:rFonts w:ascii="楷体_GB2312" w:hAnsi="仿宋" w:eastAsia="楷体_GB2312"/>
          <w:sz w:val="24"/>
        </w:rPr>
      </w:pPr>
      <w:r>
        <w:rPr>
          <w:rFonts w:hint="eastAsia" w:ascii="楷体_GB2312" w:hAnsi="宋体" w:eastAsia="楷体_GB2312"/>
          <w:sz w:val="24"/>
        </w:rPr>
        <w:t>（2）</w:t>
      </w:r>
      <w:r>
        <w:rPr>
          <w:rFonts w:hint="eastAsia" w:ascii="楷体_GB2312" w:hAnsi="仿宋" w:eastAsia="楷体_GB2312"/>
          <w:sz w:val="24"/>
        </w:rPr>
        <w:t>甲方正式聘用每一候选人到岗后,收到的乙方开具的正规合法发票后7个工作日内，支付该职位</w:t>
      </w:r>
      <w:r>
        <w:rPr>
          <w:rFonts w:hint="eastAsia" w:ascii="楷体_GB2312" w:hAnsi="仿宋" w:eastAsia="楷体_GB2312"/>
          <w:sz w:val="24"/>
          <w:u w:val="single"/>
          <w:lang w:val="en-US" w:eastAsia="zh-CN"/>
        </w:rPr>
        <w:t>5</w:t>
      </w:r>
      <w:r>
        <w:rPr>
          <w:rFonts w:hint="eastAsia" w:ascii="楷体_GB2312" w:hAnsi="仿宋" w:eastAsia="楷体_GB2312"/>
          <w:sz w:val="24"/>
          <w:u w:val="single"/>
        </w:rPr>
        <w:t>0</w:t>
      </w:r>
      <w:r>
        <w:rPr>
          <w:rFonts w:hint="eastAsia" w:ascii="楷体_GB2312" w:hAnsi="仿宋" w:eastAsia="楷体_GB2312"/>
          <w:sz w:val="24"/>
        </w:rPr>
        <w:t>%的服务费；</w:t>
      </w:r>
      <w:r>
        <w:rPr>
          <w:rFonts w:hint="eastAsia" w:ascii="楷体_GB2312" w:hAnsi="仿宋" w:eastAsia="楷体_GB2312"/>
          <w:sz w:val="24"/>
          <w:lang w:eastAsia="zh-CN"/>
        </w:rPr>
        <w:t>甲</w:t>
      </w:r>
      <w:r>
        <w:rPr>
          <w:rFonts w:hint="eastAsia" w:ascii="楷体_GB2312" w:hAnsi="仿宋" w:eastAsia="楷体_GB2312"/>
          <w:sz w:val="24"/>
        </w:rPr>
        <w:t>方每次付款前</w:t>
      </w:r>
      <w:r>
        <w:rPr>
          <w:rFonts w:hint="eastAsia" w:ascii="楷体_GB2312" w:hAnsi="仿宋" w:eastAsia="楷体_GB2312"/>
          <w:sz w:val="24"/>
          <w:lang w:eastAsia="zh-CN"/>
        </w:rPr>
        <w:t>乙方</w:t>
      </w:r>
      <w:r>
        <w:rPr>
          <w:rFonts w:hint="eastAsia" w:ascii="楷体_GB2312" w:hAnsi="仿宋" w:eastAsia="楷体_GB2312"/>
          <w:sz w:val="24"/>
        </w:rPr>
        <w:t>提供与支付金额相等的</w:t>
      </w:r>
      <w:r>
        <w:rPr>
          <w:rFonts w:hint="eastAsia" w:ascii="楷体_GB2312" w:hAnsi="仿宋" w:eastAsia="楷体_GB2312"/>
          <w:sz w:val="24"/>
          <w:u w:val="single"/>
        </w:rPr>
        <w:t>6%</w:t>
      </w:r>
      <w:r>
        <w:rPr>
          <w:rFonts w:hint="eastAsia" w:ascii="楷体_GB2312" w:hAnsi="仿宋" w:eastAsia="楷体_GB2312"/>
          <w:sz w:val="24"/>
        </w:rPr>
        <w:t>增值税专用发票</w:t>
      </w:r>
    </w:p>
    <w:p>
      <w:pPr>
        <w:tabs>
          <w:tab w:val="left" w:pos="2025"/>
        </w:tabs>
        <w:snapToGrid w:val="0"/>
        <w:spacing w:line="400" w:lineRule="exact"/>
        <w:ind w:firstLine="540" w:firstLineChars="225"/>
        <w:rPr>
          <w:rFonts w:ascii="楷体_GB2312" w:hAnsi="宋体" w:eastAsia="楷体_GB2312"/>
          <w:sz w:val="24"/>
        </w:rPr>
      </w:pPr>
      <w:r>
        <w:rPr>
          <w:rFonts w:hint="eastAsia" w:ascii="楷体_GB2312" w:hAnsi="仿宋" w:eastAsia="楷体_GB2312"/>
          <w:sz w:val="24"/>
        </w:rPr>
        <w:t>（3）剩余</w:t>
      </w:r>
      <w:r>
        <w:rPr>
          <w:rFonts w:hint="eastAsia" w:ascii="楷体_GB2312" w:hAnsi="仿宋" w:eastAsia="楷体_GB2312"/>
          <w:sz w:val="24"/>
          <w:u w:val="single"/>
          <w:lang w:val="en-US" w:eastAsia="zh-CN"/>
        </w:rPr>
        <w:t>5</w:t>
      </w:r>
      <w:bookmarkStart w:id="2" w:name="_GoBack"/>
      <w:bookmarkEnd w:id="2"/>
      <w:r>
        <w:rPr>
          <w:rFonts w:hint="eastAsia" w:ascii="楷体_GB2312" w:hAnsi="仿宋" w:eastAsia="楷体_GB2312"/>
          <w:sz w:val="24"/>
          <w:u w:val="single"/>
        </w:rPr>
        <w:t>0</w:t>
      </w:r>
      <w:r>
        <w:rPr>
          <w:rFonts w:hint="eastAsia" w:ascii="楷体_GB2312" w:hAnsi="仿宋" w:eastAsia="楷体_GB2312"/>
          <w:sz w:val="24"/>
        </w:rPr>
        <w:t>%的服务费于该职位保证期满后7个工作日内支付；</w:t>
      </w:r>
    </w:p>
    <w:p>
      <w:pPr>
        <w:snapToGrid w:val="0"/>
        <w:spacing w:line="400" w:lineRule="exact"/>
        <w:ind w:firstLine="540" w:firstLineChars="225"/>
        <w:rPr>
          <w:rFonts w:ascii="楷体_GB2312" w:hAnsi="宋体" w:eastAsia="楷体_GB2312"/>
          <w:sz w:val="24"/>
        </w:rPr>
      </w:pPr>
      <w:r>
        <w:rPr>
          <w:rFonts w:hint="eastAsia" w:ascii="楷体_GB2312" w:hAnsi="宋体" w:eastAsia="楷体_GB2312"/>
          <w:sz w:val="24"/>
        </w:rPr>
        <w:t>（4）如候选人在上岗后保证期内离职，而甲方因为公司组织架构调整等不再进行该职位的寻访，已收的服务费将不予退还；</w:t>
      </w:r>
    </w:p>
    <w:p>
      <w:pPr>
        <w:snapToGrid w:val="0"/>
        <w:spacing w:line="400" w:lineRule="exact"/>
        <w:ind w:firstLine="540" w:firstLineChars="225"/>
        <w:rPr>
          <w:rFonts w:ascii="楷体_GB2312" w:hAnsi="宋体" w:eastAsia="楷体_GB2312"/>
          <w:sz w:val="24"/>
        </w:rPr>
      </w:pPr>
      <w:r>
        <w:rPr>
          <w:rFonts w:hint="eastAsia" w:ascii="楷体_GB2312" w:hAnsi="宋体" w:eastAsia="楷体_GB2312"/>
          <w:sz w:val="24"/>
        </w:rPr>
        <w:t>（5）如甲方逾期付款，则每天按逾期金额的千分之七向乙方支付滞纳金；</w:t>
      </w:r>
    </w:p>
    <w:p>
      <w:pPr>
        <w:snapToGrid w:val="0"/>
        <w:spacing w:line="400" w:lineRule="exact"/>
        <w:ind w:firstLine="540" w:firstLineChars="225"/>
        <w:rPr>
          <w:rFonts w:ascii="楷体_GB2312" w:hAnsi="宋体" w:eastAsia="楷体_GB2312"/>
          <w:sz w:val="24"/>
        </w:rPr>
      </w:pPr>
      <w:r>
        <w:rPr>
          <w:rFonts w:hint="eastAsia" w:ascii="楷体_GB2312" w:hAnsi="宋体" w:eastAsia="楷体_GB2312"/>
          <w:sz w:val="24"/>
        </w:rPr>
        <w:t>（6）甲方与正式聘用候选人签订的劳动合同所约定的年薪或工资待遇应与实际一致，否则，乙方仍有权向甲方追偿服务费差额。</w:t>
      </w:r>
    </w:p>
    <w:p>
      <w:pPr>
        <w:snapToGrid w:val="0"/>
        <w:spacing w:line="400" w:lineRule="exact"/>
        <w:rPr>
          <w:rFonts w:ascii="楷体_GB2312" w:hAnsi="宋体" w:eastAsia="楷体_GB2312"/>
          <w:sz w:val="24"/>
        </w:rPr>
      </w:pPr>
      <w:r>
        <w:rPr>
          <w:rFonts w:hint="eastAsia" w:ascii="楷体_GB2312" w:hAnsi="宋体" w:eastAsia="楷体_GB2312"/>
          <w:sz w:val="24"/>
        </w:rPr>
        <w:t xml:space="preserve">      3、启动金和服务费须汇入乙方指定账号：</w:t>
      </w:r>
    </w:p>
    <w:tbl>
      <w:tblPr>
        <w:tblStyle w:val="10"/>
        <w:tblW w:w="0" w:type="auto"/>
        <w:tblInd w:w="9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snapToGrid w:val="0"/>
              <w:spacing w:line="400" w:lineRule="exact"/>
              <w:rPr>
                <w:rFonts w:ascii="楷体_GB2312" w:hAnsi="宋体" w:eastAsia="楷体_GB2312"/>
                <w:sz w:val="24"/>
              </w:rPr>
            </w:pPr>
            <w:r>
              <w:rPr>
                <w:rFonts w:hint="eastAsia" w:ascii="楷体_GB2312" w:hAnsi="宋体" w:eastAsia="楷体_GB2312"/>
                <w:sz w:val="24"/>
              </w:rPr>
              <w:t>开户名称：</w:t>
            </w:r>
          </w:p>
        </w:tc>
        <w:tc>
          <w:tcPr>
            <w:tcW w:w="6120" w:type="dxa"/>
          </w:tcPr>
          <w:p>
            <w:pPr>
              <w:snapToGrid w:val="0"/>
              <w:spacing w:line="400" w:lineRule="exact"/>
              <w:rPr>
                <w:rFonts w:ascii="宋体" w:hAnsi="宋体"/>
                <w:sz w:val="24"/>
              </w:rPr>
            </w:pPr>
            <w:r>
              <w:rPr>
                <w:rFonts w:hint="eastAsia" w:ascii="宋体" w:hAnsi="宋体"/>
                <w:b/>
                <w:bCs/>
                <w:sz w:val="30"/>
              </w:rPr>
              <w:t>深圳市一览网络股份有限公司武汉分公司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snapToGrid w:val="0"/>
              <w:spacing w:line="400" w:lineRule="exact"/>
              <w:rPr>
                <w:rFonts w:ascii="楷体_GB2312" w:hAnsi="宋体" w:eastAsia="楷体_GB2312"/>
                <w:sz w:val="24"/>
              </w:rPr>
            </w:pPr>
            <w:r>
              <w:rPr>
                <w:rFonts w:hint="eastAsia" w:ascii="楷体_GB2312" w:hAnsi="宋体" w:eastAsia="楷体_GB2312"/>
                <w:sz w:val="24"/>
              </w:rPr>
              <w:t>开户银行：</w:t>
            </w:r>
          </w:p>
        </w:tc>
        <w:tc>
          <w:tcPr>
            <w:tcW w:w="6120" w:type="dxa"/>
          </w:tcPr>
          <w:p>
            <w:pPr>
              <w:snapToGrid w:val="0"/>
              <w:spacing w:line="400" w:lineRule="exact"/>
              <w:rPr>
                <w:rFonts w:ascii="宋体" w:hAnsi="宋体"/>
                <w:sz w:val="24"/>
              </w:rPr>
            </w:pPr>
            <w:r>
              <w:rPr>
                <w:rFonts w:hint="eastAsia" w:ascii="宋体" w:hAnsi="宋体"/>
                <w:b/>
                <w:bCs/>
                <w:sz w:val="30"/>
              </w:rPr>
              <w:t>兴业银行武汉东湖高新科技支行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snapToGrid w:val="0"/>
              <w:spacing w:line="400" w:lineRule="exact"/>
              <w:rPr>
                <w:rFonts w:ascii="楷体_GB2312" w:hAnsi="宋体" w:eastAsia="楷体_GB2312"/>
                <w:sz w:val="24"/>
              </w:rPr>
            </w:pPr>
            <w:r>
              <w:rPr>
                <w:rFonts w:hint="eastAsia" w:ascii="楷体_GB2312" w:hAnsi="宋体" w:eastAsia="楷体_GB2312"/>
                <w:sz w:val="24"/>
              </w:rPr>
              <w:t>账    号：</w:t>
            </w:r>
          </w:p>
        </w:tc>
        <w:tc>
          <w:tcPr>
            <w:tcW w:w="6120" w:type="dxa"/>
          </w:tcPr>
          <w:p>
            <w:pPr>
              <w:snapToGrid w:val="0"/>
              <w:spacing w:line="400" w:lineRule="exact"/>
              <w:rPr>
                <w:rFonts w:ascii="宋体" w:hAnsi="宋体"/>
                <w:sz w:val="24"/>
              </w:rPr>
            </w:pPr>
            <w:r>
              <w:rPr>
                <w:rFonts w:hint="eastAsia" w:ascii="宋体" w:hAnsi="宋体"/>
                <w:b/>
                <w:bCs/>
                <w:sz w:val="30"/>
              </w:rPr>
              <w:t>416 1801 0010 0003 407</w:t>
            </w:r>
          </w:p>
        </w:tc>
      </w:tr>
    </w:tbl>
    <w:p>
      <w:pPr>
        <w:spacing w:line="400" w:lineRule="exact"/>
        <w:jc w:val="left"/>
        <w:rPr>
          <w:rFonts w:ascii="宋体" w:hAnsi="宋体"/>
          <w:b/>
          <w:bCs/>
          <w:kern w:val="16"/>
          <w:szCs w:val="21"/>
        </w:rPr>
      </w:pPr>
      <w:r>
        <w:rPr>
          <w:rFonts w:hint="eastAsia" w:ascii="宋体" w:hAnsi="宋体"/>
          <w:b/>
          <w:bCs/>
          <w:kern w:val="16"/>
          <w:szCs w:val="21"/>
        </w:rPr>
        <w:t>第五条    保证期约定</w:t>
      </w:r>
    </w:p>
    <w:p>
      <w:pPr>
        <w:snapToGrid w:val="0"/>
        <w:spacing w:line="400" w:lineRule="exact"/>
        <w:rPr>
          <w:rFonts w:ascii="楷体_GB2312" w:hAnsi="仿宋" w:eastAsia="楷体_GB2312"/>
          <w:sz w:val="24"/>
        </w:rPr>
      </w:pPr>
      <w:r>
        <w:rPr>
          <w:rFonts w:hint="eastAsia" w:ascii="楷体_GB2312" w:hAnsi="仿宋" w:eastAsia="楷体_GB2312"/>
          <w:sz w:val="24"/>
        </w:rPr>
        <w:t xml:space="preserve">    </w:t>
      </w:r>
      <w:r>
        <w:rPr>
          <w:rFonts w:hint="eastAsia" w:ascii="楷体_GB2312" w:hAnsi="仿宋" w:eastAsia="楷体_GB2312"/>
          <w:sz w:val="24"/>
        </w:rPr>
        <w:fldChar w:fldCharType="begin"/>
      </w:r>
      <w:r>
        <w:rPr>
          <w:rFonts w:hint="eastAsia" w:ascii="楷体_GB2312" w:hAnsi="仿宋" w:eastAsia="楷体_GB2312"/>
          <w:sz w:val="24"/>
        </w:rPr>
        <w:instrText xml:space="preserve"> </w:instrText>
      </w:r>
      <w:r>
        <w:fldChar w:fldCharType="begin"/>
      </w:r>
      <w:r>
        <w:instrText xml:space="preserve">  </w:instrText>
      </w:r>
      <w:r>
        <w:fldChar w:fldCharType="separate"/>
      </w:r>
      <w:r>
        <w:fldChar w:fldCharType="end"/>
      </w:r>
      <w:r>
        <w:rPr>
          <w:rFonts w:hint="eastAsia" w:ascii="楷体_GB2312" w:hAnsi="仿宋" w:eastAsia="楷体_GB2312"/>
          <w:sz w:val="24"/>
        </w:rPr>
        <w:instrText xml:space="preserve"> </w:instrText>
      </w:r>
      <w:r>
        <w:rPr>
          <w:rFonts w:hint="eastAsia" w:ascii="楷体_GB2312" w:hAnsi="仿宋" w:eastAsia="楷体_GB2312"/>
          <w:sz w:val="24"/>
        </w:rPr>
        <w:fldChar w:fldCharType="end"/>
      </w:r>
      <w:r>
        <w:fldChar w:fldCharType="begin"/>
      </w:r>
      <w:r>
        <w:instrText xml:space="preserve">  </w:instrText>
      </w:r>
      <w:r>
        <w:fldChar w:fldCharType="separate"/>
      </w:r>
      <w:r>
        <w:fldChar w:fldCharType="end"/>
      </w:r>
      <w:r>
        <w:rPr>
          <w:rFonts w:hint="eastAsia" w:ascii="楷体_GB2312" w:hAnsi="仿宋" w:eastAsia="楷体_GB2312"/>
          <w:sz w:val="24"/>
        </w:rPr>
        <w:t>由乙方推荐成功的候选人保证期为叁个月，在保证期内因个人原因辞职或甲方考核证明该人选不能胜任工作，甲方应于辞退前15天以书面形式通知乙方，并可要求乙方免费提供后续服务一次，或经双方协商免费更换其他猎寻职位一次,但费用仍需按照本协议约定继续履行。（注：乙方向甲方推荐的候选人保证期并非甲方和推荐人才约定的试用期，而是甲乙双方的服务约定。）</w:t>
      </w:r>
    </w:p>
    <w:p>
      <w:pPr>
        <w:spacing w:line="400" w:lineRule="exact"/>
        <w:jc w:val="left"/>
        <w:rPr>
          <w:rFonts w:ascii="宋体" w:hAnsi="宋体"/>
          <w:b/>
          <w:bCs/>
          <w:kern w:val="16"/>
          <w:szCs w:val="21"/>
        </w:rPr>
      </w:pPr>
      <w:r>
        <w:rPr>
          <w:rFonts w:hint="eastAsia" w:ascii="宋体" w:hAnsi="宋体"/>
          <w:b/>
          <w:bCs/>
          <w:kern w:val="16"/>
          <w:szCs w:val="21"/>
        </w:rPr>
        <w:t>第六条  保密约定及保护性条款 </w:t>
      </w:r>
    </w:p>
    <w:p>
      <w:pPr>
        <w:snapToGrid w:val="0"/>
        <w:spacing w:line="400" w:lineRule="exact"/>
        <w:ind w:firstLine="540" w:firstLineChars="225"/>
        <w:rPr>
          <w:rFonts w:ascii="楷体_GB2312" w:hAnsi="仿宋" w:eastAsia="楷体_GB2312"/>
          <w:sz w:val="24"/>
        </w:rPr>
      </w:pPr>
      <w:r>
        <w:rPr>
          <w:rFonts w:hint="eastAsia" w:ascii="楷体_GB2312" w:hAnsi="仿宋" w:eastAsia="楷体_GB2312"/>
          <w:sz w:val="24"/>
        </w:rPr>
        <w:t>1、乙方将对履约过程中获取的以下甲方信息实行严格保密：</w:t>
      </w:r>
    </w:p>
    <w:p>
      <w:pPr>
        <w:snapToGrid w:val="0"/>
        <w:spacing w:line="400" w:lineRule="exact"/>
        <w:ind w:firstLine="900" w:firstLineChars="375"/>
        <w:rPr>
          <w:rFonts w:ascii="楷体_GB2312" w:hAnsi="仿宋" w:eastAsia="楷体_GB2312"/>
          <w:sz w:val="24"/>
        </w:rPr>
      </w:pPr>
      <w:r>
        <w:rPr>
          <w:rFonts w:hint="eastAsia" w:ascii="楷体_GB2312" w:hAnsi="仿宋" w:eastAsia="楷体_GB2312"/>
          <w:sz w:val="24"/>
        </w:rPr>
        <w:t>a)乙方所了解的甲方业务及技术相关资料，及其他甲方告知乙方应保密的信息；</w:t>
      </w:r>
    </w:p>
    <w:p>
      <w:pPr>
        <w:snapToGrid w:val="0"/>
        <w:spacing w:line="400" w:lineRule="exact"/>
        <w:ind w:firstLine="900" w:firstLineChars="375"/>
        <w:rPr>
          <w:rFonts w:ascii="楷体_GB2312" w:hAnsi="仿宋" w:eastAsia="楷体_GB2312"/>
          <w:sz w:val="24"/>
        </w:rPr>
      </w:pPr>
      <w:r>
        <w:rPr>
          <w:rFonts w:hint="eastAsia" w:ascii="楷体_GB2312" w:hAnsi="仿宋" w:eastAsia="楷体_GB2312"/>
          <w:sz w:val="24"/>
        </w:rPr>
        <w:t xml:space="preserve">b)乙方所了解的所有甲方雇员或候选雇员的相关资料。 </w:t>
      </w:r>
    </w:p>
    <w:p>
      <w:pPr>
        <w:snapToGrid w:val="0"/>
        <w:spacing w:line="400" w:lineRule="exact"/>
        <w:ind w:firstLine="540" w:firstLineChars="225"/>
        <w:rPr>
          <w:rFonts w:ascii="楷体_GB2312" w:hAnsi="仿宋" w:eastAsia="楷体_GB2312"/>
          <w:sz w:val="24"/>
        </w:rPr>
      </w:pPr>
      <w:r>
        <w:rPr>
          <w:rFonts w:hint="eastAsia" w:ascii="楷体_GB2312" w:hAnsi="仿宋" w:eastAsia="楷体_GB2312"/>
          <w:sz w:val="24"/>
        </w:rPr>
        <w:t>2、甲方将保证由乙方所提供的候选人的资料只为甲方所用。甲方不得将乙方提供的人员资料提供给甲乙双方之外的任何第三方(包括个人和法人)；同时,甲方向所推荐候选人目前单位(雇主)作背景调查之前，需提前知会该候选人和乙方并征求是否同意；</w:t>
      </w:r>
    </w:p>
    <w:p>
      <w:pPr>
        <w:snapToGrid w:val="0"/>
        <w:spacing w:line="400" w:lineRule="exact"/>
        <w:ind w:firstLine="540" w:firstLineChars="225"/>
        <w:rPr>
          <w:rFonts w:ascii="楷体_GB2312" w:hAnsi="仿宋" w:eastAsia="楷体_GB2312"/>
          <w:sz w:val="24"/>
        </w:rPr>
      </w:pPr>
      <w:r>
        <w:rPr>
          <w:rFonts w:hint="eastAsia" w:ascii="楷体_GB2312" w:hAnsi="宋体" w:eastAsia="楷体_GB2312"/>
          <w:sz w:val="24"/>
        </w:rPr>
        <w:t>3、乙方推荐给甲方的候选人，乙方不再推荐给其他第三方，但面试后十五日内甲方未有聘用决定的除外；</w:t>
      </w:r>
    </w:p>
    <w:p>
      <w:pPr>
        <w:snapToGrid w:val="0"/>
        <w:spacing w:line="400" w:lineRule="exact"/>
        <w:ind w:firstLine="540" w:firstLineChars="225"/>
        <w:rPr>
          <w:rFonts w:ascii="楷体_GB2312" w:hAnsi="仿宋" w:eastAsia="楷体_GB2312"/>
          <w:sz w:val="24"/>
        </w:rPr>
      </w:pPr>
      <w:r>
        <w:rPr>
          <w:rFonts w:hint="eastAsia" w:ascii="楷体_GB2312" w:hAnsi="仿宋" w:eastAsia="楷体_GB2312"/>
          <w:sz w:val="24"/>
        </w:rPr>
        <w:t>4、受聘人员在甲方任职期间所进行的一切活动及所产生的后果，均由其自行承担，与乙方无关；</w:t>
      </w:r>
    </w:p>
    <w:p>
      <w:pPr>
        <w:snapToGrid w:val="0"/>
        <w:spacing w:line="400" w:lineRule="exact"/>
        <w:ind w:firstLine="540" w:firstLineChars="225"/>
        <w:rPr>
          <w:rFonts w:ascii="楷体_GB2312" w:hAnsi="仿宋" w:eastAsia="楷体_GB2312"/>
          <w:sz w:val="24"/>
        </w:rPr>
      </w:pPr>
      <w:r>
        <w:rPr>
          <w:rFonts w:hint="eastAsia" w:ascii="楷体_GB2312" w:hAnsi="仿宋" w:eastAsia="楷体_GB2312"/>
          <w:sz w:val="24"/>
        </w:rPr>
        <w:t>5、因甲方与乙方推荐的受聘人员之间就劳动合同解除、终止所产生的争议，乙方保持中立态度，不承担任何法律责任；</w:t>
      </w:r>
    </w:p>
    <w:p>
      <w:pPr>
        <w:snapToGrid w:val="0"/>
        <w:spacing w:line="400" w:lineRule="exact"/>
        <w:ind w:firstLine="540" w:firstLineChars="225"/>
        <w:rPr>
          <w:rFonts w:ascii="楷体_GB2312" w:hAnsi="仿宋" w:eastAsia="楷体_GB2312"/>
          <w:sz w:val="24"/>
        </w:rPr>
      </w:pPr>
      <w:r>
        <w:rPr>
          <w:rFonts w:hint="eastAsia" w:ascii="楷体_GB2312" w:hAnsi="仿宋" w:eastAsia="楷体_GB2312"/>
          <w:sz w:val="24"/>
        </w:rPr>
        <w:t>6、无论本协议是否解除、终止或履行完毕，甲方在壹年内（从乙方提供候选人个人材料之日起计）录用乙方曾推荐过的候选人的（包括任何职务），视为乙方推荐成功，甲方应于被录用人到位前通知乙方，并按本协议约定的收费标准向乙方支付服务费；</w:t>
      </w:r>
    </w:p>
    <w:p>
      <w:pPr>
        <w:snapToGrid w:val="0"/>
        <w:spacing w:line="400" w:lineRule="exact"/>
        <w:ind w:firstLine="540" w:firstLineChars="225"/>
        <w:rPr>
          <w:rFonts w:ascii="楷体_GB2312" w:hAnsi="宋体" w:eastAsia="楷体_GB2312"/>
          <w:sz w:val="24"/>
        </w:rPr>
      </w:pPr>
      <w:r>
        <w:rPr>
          <w:rFonts w:hint="eastAsia" w:ascii="楷体_GB2312" w:hAnsi="宋体" w:eastAsia="楷体_GB2312"/>
          <w:sz w:val="24"/>
        </w:rPr>
        <w:t>7、乙方向甲方交付工作任务的方式包括但不限于乙方后台推荐、传真件形式、邮件形式等。</w:t>
      </w:r>
    </w:p>
    <w:p>
      <w:pPr>
        <w:spacing w:line="400" w:lineRule="exact"/>
        <w:jc w:val="left"/>
        <w:rPr>
          <w:rFonts w:ascii="宋体" w:hAnsi="宋体"/>
          <w:b/>
          <w:bCs/>
          <w:kern w:val="16"/>
          <w:szCs w:val="21"/>
        </w:rPr>
      </w:pPr>
      <w:r>
        <w:rPr>
          <w:rFonts w:hint="eastAsia" w:ascii="宋体" w:hAnsi="宋体"/>
          <w:b/>
          <w:bCs/>
          <w:kern w:val="16"/>
          <w:szCs w:val="21"/>
        </w:rPr>
        <w:t>第七条   违约责任</w:t>
      </w:r>
    </w:p>
    <w:p>
      <w:pPr>
        <w:widowControl/>
        <w:spacing w:line="400" w:lineRule="exact"/>
        <w:jc w:val="left"/>
        <w:rPr>
          <w:rFonts w:ascii="楷体_GB2312" w:hAnsi="仿宋" w:eastAsia="楷体_GB2312"/>
          <w:sz w:val="24"/>
        </w:rPr>
      </w:pPr>
      <w:r>
        <w:rPr>
          <w:rFonts w:hint="eastAsia" w:ascii="楷体_GB2312" w:hAnsi="仿宋" w:eastAsia="楷体_GB2312"/>
          <w:sz w:val="24"/>
        </w:rPr>
        <w:t xml:space="preserve">    1、对于甲方故意拖延不付应付服务费的情形，如甲方逾期付款（超过应付日后3个工作日视为逾期），则乙方有权暂停继续服务，且每天按逾期金额的千分之七向乙方支付违约金。如逾期付款超过30天，乙方有权单方解除本协议；</w:t>
      </w:r>
    </w:p>
    <w:p>
      <w:pPr>
        <w:snapToGrid w:val="0"/>
        <w:spacing w:line="400" w:lineRule="exact"/>
        <w:ind w:firstLine="480" w:firstLineChars="200"/>
        <w:rPr>
          <w:rFonts w:ascii="楷体_GB2312" w:hAnsi="仿宋" w:eastAsia="楷体_GB2312"/>
          <w:sz w:val="24"/>
        </w:rPr>
      </w:pPr>
      <w:r>
        <w:rPr>
          <w:rFonts w:hint="eastAsia" w:ascii="楷体_GB2312" w:hAnsi="仿宋" w:eastAsia="楷体_GB2312"/>
          <w:sz w:val="24"/>
        </w:rPr>
        <w:t>2、在乙方推荐的候选人入职后，如甲方发现乙方在提供的候选人信息里存在刻意制假情况或者重大失误（如人才捏造从未有过的学历、经历），则甲方有权要求乙方退还给甲方该职位服务费。</w:t>
      </w:r>
    </w:p>
    <w:p>
      <w:pPr>
        <w:spacing w:line="400" w:lineRule="exact"/>
        <w:jc w:val="left"/>
        <w:rPr>
          <w:rFonts w:ascii="宋体" w:hAnsi="宋体"/>
          <w:b/>
          <w:bCs/>
          <w:kern w:val="16"/>
          <w:szCs w:val="21"/>
        </w:rPr>
      </w:pPr>
      <w:r>
        <w:rPr>
          <w:rFonts w:hint="eastAsia" w:ascii="宋体" w:hAnsi="宋体"/>
          <w:b/>
          <w:bCs/>
          <w:kern w:val="16"/>
          <w:szCs w:val="21"/>
        </w:rPr>
        <w:t>第八条   其他</w:t>
      </w:r>
    </w:p>
    <w:p>
      <w:pPr>
        <w:snapToGrid w:val="0"/>
        <w:spacing w:line="400" w:lineRule="exact"/>
        <w:ind w:firstLine="540" w:firstLineChars="225"/>
        <w:rPr>
          <w:rFonts w:ascii="楷体_GB2312" w:hAnsi="宋体" w:eastAsia="楷体_GB2312"/>
          <w:sz w:val="24"/>
        </w:rPr>
      </w:pPr>
      <w:r>
        <w:rPr>
          <w:rFonts w:hint="eastAsia" w:ascii="楷体_GB2312" w:hAnsi="宋体" w:eastAsia="楷体_GB2312"/>
          <w:sz w:val="24"/>
        </w:rPr>
        <w:t>1、《企业概况》和《职位说明书》为本协议附件，与本协议具有同等的法律效力；</w:t>
      </w:r>
    </w:p>
    <w:p>
      <w:pPr>
        <w:snapToGrid w:val="0"/>
        <w:spacing w:line="400" w:lineRule="exact"/>
        <w:ind w:firstLine="540" w:firstLineChars="225"/>
        <w:rPr>
          <w:rFonts w:ascii="楷体_GB2312" w:hAnsi="宋体" w:eastAsia="楷体_GB2312"/>
          <w:sz w:val="24"/>
        </w:rPr>
      </w:pPr>
      <w:r>
        <w:rPr>
          <w:rFonts w:hint="eastAsia" w:ascii="楷体_GB2312" w:hAnsi="宋体" w:eastAsia="楷体_GB2312"/>
          <w:sz w:val="24"/>
        </w:rPr>
        <w:t>2、就本协议和本协议的履行而产生的一切争议，甲、乙双方应友好协商解决；协商不成的，双方同意将争议提交到被告方所在地人民法院通过诉讼方式解决；</w:t>
      </w:r>
    </w:p>
    <w:p>
      <w:pPr>
        <w:snapToGrid w:val="0"/>
        <w:spacing w:line="400" w:lineRule="exact"/>
        <w:ind w:firstLine="540" w:firstLineChars="225"/>
        <w:rPr>
          <w:rFonts w:ascii="楷体_GB2312" w:hAnsi="宋体" w:eastAsia="楷体_GB2312"/>
          <w:sz w:val="24"/>
        </w:rPr>
      </w:pPr>
      <w:r>
        <w:rPr>
          <w:rFonts w:hint="eastAsia" w:ascii="楷体_GB2312" w:hAnsi="宋体" w:eastAsia="楷体_GB2312"/>
          <w:sz w:val="24"/>
        </w:rPr>
        <w:t xml:space="preserve">3、本协议一式两份，双方各执一份，经双方签字盖章后即时生效。 </w:t>
      </w:r>
    </w:p>
    <w:p>
      <w:pPr>
        <w:snapToGrid w:val="0"/>
        <w:spacing w:line="420" w:lineRule="exact"/>
        <w:rPr>
          <w:rFonts w:ascii="楷体_GB2312" w:hAnsi="宋体" w:eastAsia="楷体_GB2312"/>
          <w:sz w:val="24"/>
        </w:rPr>
      </w:pPr>
    </w:p>
    <w:p>
      <w:pPr>
        <w:snapToGrid w:val="0"/>
        <w:spacing w:line="420" w:lineRule="exact"/>
        <w:rPr>
          <w:rFonts w:ascii="楷体_GB2312" w:hAnsi="宋体" w:eastAsia="楷体_GB2312"/>
          <w:sz w:val="24"/>
        </w:rPr>
      </w:pPr>
      <w:r>
        <w:rPr>
          <w:rFonts w:hint="eastAsia" w:ascii="楷体_GB2312" w:hAnsi="宋体" w:eastAsia="楷体_GB2312"/>
          <w:sz w:val="24"/>
        </w:rPr>
        <w:t>甲    方：北京光华荣昌汽车部件有限公司   乙    方：深圳市一览网络股份有限公司武汉</w:t>
      </w:r>
    </w:p>
    <w:p>
      <w:pPr>
        <w:snapToGrid w:val="0"/>
        <w:spacing w:line="420" w:lineRule="exact"/>
        <w:rPr>
          <w:rFonts w:ascii="楷体_GB2312" w:hAnsi="宋体" w:eastAsia="楷体_GB2312"/>
          <w:sz w:val="24"/>
        </w:rPr>
      </w:pPr>
      <w:r>
        <w:rPr>
          <w:rFonts w:hint="eastAsia" w:ascii="楷体_GB2312" w:hAnsi="宋体" w:eastAsia="楷体_GB2312"/>
          <w:sz w:val="24"/>
        </w:rPr>
        <w:t xml:space="preserve">                                                  分公司</w:t>
      </w:r>
    </w:p>
    <w:p>
      <w:pPr>
        <w:snapToGrid w:val="0"/>
        <w:spacing w:line="420" w:lineRule="exact"/>
        <w:rPr>
          <w:rFonts w:ascii="楷体_GB2312" w:hAnsi="宋体" w:eastAsia="楷体_GB2312"/>
          <w:sz w:val="24"/>
        </w:rPr>
      </w:pPr>
      <w:r>
        <w:rPr>
          <w:rFonts w:hint="eastAsia" w:ascii="楷体_GB2312" w:hAnsi="宋体" w:eastAsia="楷体_GB2312"/>
          <w:sz w:val="24"/>
        </w:rPr>
        <w:t>签署代表：                              签署代表：</w:t>
      </w:r>
    </w:p>
    <w:p>
      <w:pPr>
        <w:snapToGrid w:val="0"/>
        <w:spacing w:line="420" w:lineRule="exact"/>
        <w:rPr>
          <w:rFonts w:hint="default" w:ascii="楷体_GB2312" w:hAnsi="宋体" w:eastAsia="楷体_GB2312"/>
          <w:sz w:val="24"/>
          <w:lang w:val="en-US" w:eastAsia="zh-CN"/>
        </w:rPr>
      </w:pPr>
      <w:r>
        <w:rPr>
          <w:rFonts w:hint="eastAsia" w:ascii="楷体_GB2312" w:hAnsi="宋体" w:eastAsia="楷体_GB2312"/>
          <w:sz w:val="24"/>
        </w:rPr>
        <w:t>固定联系邮箱</w:t>
      </w:r>
      <w:r>
        <w:rPr>
          <w:rFonts w:hint="eastAsia" w:ascii="楷体_GB2312" w:hAnsi="宋体" w:eastAsia="楷体_GB2312"/>
          <w:sz w:val="24"/>
          <w:lang w:eastAsia="zh-CN"/>
        </w:rPr>
        <w:t>：</w:t>
      </w:r>
      <w:r>
        <w:rPr>
          <w:rFonts w:hint="eastAsia" w:ascii="楷体_GB2312" w:hAnsi="宋体" w:eastAsia="楷体_GB2312"/>
          <w:sz w:val="24"/>
        </w:rPr>
        <w:t>lihongwei@bjghrc.com      固定联系邮箱：</w:t>
      </w:r>
      <w:r>
        <w:rPr>
          <w:rFonts w:hint="eastAsia" w:ascii="楷体_GB2312" w:hAnsi="宋体" w:eastAsia="楷体_GB2312"/>
          <w:sz w:val="24"/>
          <w:lang w:val="en-US" w:eastAsia="zh-CN"/>
        </w:rPr>
        <w:t>tianpanjob1001@163.com</w:t>
      </w:r>
    </w:p>
    <w:p>
      <w:pPr>
        <w:rPr>
          <w:rFonts w:ascii="楷体_GB2312" w:eastAsia="楷体_GB2312"/>
        </w:rPr>
      </w:pPr>
      <w:r>
        <w:rPr>
          <w:rFonts w:hint="eastAsia" w:ascii="楷体_GB2312" w:hAnsi="宋体" w:eastAsia="楷体_GB2312"/>
          <w:sz w:val="24"/>
        </w:rPr>
        <w:t>日    期：</w:t>
      </w:r>
      <w:r>
        <w:rPr>
          <w:rFonts w:hint="eastAsia" w:ascii="楷体_GB2312" w:hAnsi="宋体" w:eastAsia="楷体_GB2312"/>
          <w:sz w:val="24"/>
          <w:u w:val="single"/>
        </w:rPr>
        <w:t xml:space="preserve">      </w:t>
      </w:r>
      <w:r>
        <w:rPr>
          <w:rFonts w:hint="eastAsia" w:ascii="楷体_GB2312" w:hAnsi="宋体" w:eastAsia="楷体_GB2312"/>
          <w:sz w:val="24"/>
        </w:rPr>
        <w:t>年</w:t>
      </w:r>
      <w:r>
        <w:rPr>
          <w:rFonts w:hint="eastAsia" w:ascii="楷体_GB2312" w:hAnsi="宋体" w:eastAsia="楷体_GB2312"/>
          <w:sz w:val="24"/>
          <w:u w:val="single"/>
        </w:rPr>
        <w:t xml:space="preserve">     </w:t>
      </w:r>
      <w:r>
        <w:rPr>
          <w:rFonts w:hint="eastAsia" w:ascii="楷体_GB2312" w:hAnsi="宋体" w:eastAsia="楷体_GB2312"/>
          <w:sz w:val="24"/>
        </w:rPr>
        <w:t>月</w:t>
      </w:r>
      <w:r>
        <w:rPr>
          <w:rFonts w:hint="eastAsia" w:ascii="楷体_GB2312" w:hAnsi="宋体" w:eastAsia="楷体_GB2312"/>
          <w:sz w:val="24"/>
          <w:u w:val="single"/>
        </w:rPr>
        <w:t xml:space="preserve">     </w:t>
      </w:r>
      <w:r>
        <w:rPr>
          <w:rFonts w:hint="eastAsia" w:ascii="楷体_GB2312" w:hAnsi="宋体" w:eastAsia="楷体_GB2312"/>
          <w:sz w:val="24"/>
        </w:rPr>
        <w:t>日        日    期：</w:t>
      </w:r>
      <w:r>
        <w:rPr>
          <w:rFonts w:hint="eastAsia" w:ascii="楷体_GB2312" w:hAnsi="宋体" w:eastAsia="楷体_GB2312"/>
          <w:sz w:val="24"/>
          <w:u w:val="single"/>
        </w:rPr>
        <w:t xml:space="preserve">      </w:t>
      </w:r>
      <w:r>
        <w:rPr>
          <w:rFonts w:hint="eastAsia" w:ascii="楷体_GB2312" w:hAnsi="宋体" w:eastAsia="楷体_GB2312"/>
          <w:sz w:val="24"/>
        </w:rPr>
        <w:t>年</w:t>
      </w:r>
      <w:r>
        <w:rPr>
          <w:rFonts w:hint="eastAsia" w:ascii="楷体_GB2312" w:hAnsi="宋体" w:eastAsia="楷体_GB2312"/>
          <w:sz w:val="24"/>
          <w:u w:val="single"/>
        </w:rPr>
        <w:t xml:space="preserve">      </w:t>
      </w:r>
      <w:r>
        <w:rPr>
          <w:rFonts w:hint="eastAsia" w:ascii="楷体_GB2312" w:hAnsi="宋体" w:eastAsia="楷体_GB2312"/>
          <w:sz w:val="24"/>
        </w:rPr>
        <w:t>月</w:t>
      </w:r>
      <w:r>
        <w:rPr>
          <w:rFonts w:hint="eastAsia" w:ascii="楷体_GB2312" w:hAnsi="宋体" w:eastAsia="楷体_GB2312"/>
          <w:sz w:val="24"/>
          <w:u w:val="single"/>
        </w:rPr>
        <w:t xml:space="preserve">     </w:t>
      </w:r>
      <w:r>
        <w:rPr>
          <w:rFonts w:hint="eastAsia" w:ascii="楷体_GB2312" w:hAnsi="宋体" w:eastAsia="楷体_GB2312"/>
          <w:sz w:val="24"/>
        </w:rPr>
        <w:t xml:space="preserve">日 </w:t>
      </w:r>
    </w:p>
    <w:p>
      <w:pPr>
        <w:pStyle w:val="18"/>
        <w:spacing w:line="440" w:lineRule="atLeast"/>
        <w:rPr>
          <w:rFonts w:ascii="楷体_GB2312" w:hAnsi="宋体" w:eastAsia="楷体_GB2312"/>
          <w:sz w:val="24"/>
        </w:rPr>
      </w:pPr>
    </w:p>
    <w:sectPr>
      <w:headerReference r:id="rId3" w:type="default"/>
      <w:footerReference r:id="rId4" w:type="default"/>
      <w:pgSz w:w="11906" w:h="16838"/>
      <w:pgMar w:top="351" w:right="1134" w:bottom="567" w:left="1134" w:header="387" w:footer="31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kern w:val="0"/>
        <w:szCs w:val="21"/>
      </w:rPr>
    </w:pPr>
    <w:r>
      <w:rPr>
        <w:rStyle w:val="13"/>
        <w:rFonts w:ascii="宋体" w:hAnsi="宋体" w:cs="Arial"/>
        <w:color w:val="auto"/>
        <w:szCs w:val="21"/>
      </w:rPr>
      <w:t>一览英才网</w:t>
    </w:r>
    <w:r>
      <w:rPr>
        <w:rStyle w:val="13"/>
        <w:rFonts w:hint="eastAsia" w:ascii="宋体" w:hAnsi="宋体" w:cs="Arial"/>
        <w:color w:val="auto"/>
        <w:szCs w:val="21"/>
      </w:rPr>
      <w:t>(</w:t>
    </w:r>
    <w:r>
      <w:fldChar w:fldCharType="begin"/>
    </w:r>
    <w:r>
      <w:instrText xml:space="preserve"> HYPERLINK "http://www.job1001.com" </w:instrText>
    </w:r>
    <w:r>
      <w:fldChar w:fldCharType="separate"/>
    </w:r>
    <w:r>
      <w:rPr>
        <w:rStyle w:val="14"/>
        <w:rFonts w:hint="eastAsia" w:ascii="宋体" w:hAnsi="宋体" w:cs="Arial"/>
        <w:color w:val="auto"/>
        <w:szCs w:val="21"/>
      </w:rPr>
      <w:t>http://</w:t>
    </w:r>
    <w:r>
      <w:rPr>
        <w:rStyle w:val="14"/>
        <w:rFonts w:ascii="宋体" w:hAnsi="宋体" w:cs="Arial"/>
        <w:color w:val="auto"/>
        <w:szCs w:val="21"/>
      </w:rPr>
      <w:t>ww</w:t>
    </w:r>
    <w:bookmarkStart w:id="0" w:name="_Hlt274874753"/>
    <w:bookmarkStart w:id="1" w:name="_Hlt274874752"/>
    <w:r>
      <w:rPr>
        <w:rStyle w:val="14"/>
        <w:rFonts w:ascii="宋体" w:hAnsi="宋体" w:cs="Arial"/>
        <w:color w:val="auto"/>
        <w:szCs w:val="21"/>
      </w:rPr>
      <w:t>w</w:t>
    </w:r>
    <w:bookmarkEnd w:id="0"/>
    <w:bookmarkEnd w:id="1"/>
    <w:r>
      <w:rPr>
        <w:rStyle w:val="14"/>
        <w:rFonts w:ascii="宋体" w:hAnsi="宋体" w:cs="Arial"/>
        <w:color w:val="auto"/>
        <w:szCs w:val="21"/>
      </w:rPr>
      <w:t>.job1001.com</w:t>
    </w:r>
    <w:r>
      <w:rPr>
        <w:rStyle w:val="14"/>
        <w:rFonts w:ascii="宋体" w:hAnsi="宋体" w:cs="Arial"/>
        <w:color w:val="auto"/>
        <w:szCs w:val="21"/>
      </w:rPr>
      <w:fldChar w:fldCharType="end"/>
    </w:r>
    <w:r>
      <w:rPr>
        <w:rFonts w:hint="eastAsia" w:ascii="宋体" w:hAnsi="宋体" w:cs="Arial"/>
        <w:szCs w:val="21"/>
      </w:rPr>
      <w:t>)</w:t>
    </w:r>
    <w:r>
      <w:rPr>
        <w:rFonts w:ascii="宋体" w:hAnsi="宋体" w:cs="Arial"/>
        <w:szCs w:val="21"/>
      </w:rPr>
      <w:t xml:space="preserve"> 是基于</w:t>
    </w:r>
    <w:r>
      <w:rPr>
        <w:rFonts w:hint="eastAsia" w:ascii="宋体" w:hAnsi="宋体" w:cs="Arial"/>
        <w:szCs w:val="21"/>
      </w:rPr>
      <w:t>产业</w:t>
    </w:r>
    <w:r>
      <w:rPr>
        <w:rFonts w:ascii="宋体" w:hAnsi="宋体" w:cs="Arial"/>
        <w:szCs w:val="21"/>
      </w:rPr>
      <w:t>行业垂直细分和</w:t>
    </w:r>
    <w:r>
      <w:rPr>
        <w:rFonts w:hint="eastAsia" w:ascii="宋体" w:hAnsi="宋体" w:cs="Arial"/>
        <w:szCs w:val="21"/>
      </w:rPr>
      <w:t>地方</w:t>
    </w:r>
    <w:r>
      <w:rPr>
        <w:rFonts w:ascii="宋体" w:hAnsi="宋体" w:cs="Arial"/>
        <w:szCs w:val="21"/>
      </w:rPr>
      <w:t>区域横向细分的</w:t>
    </w:r>
    <w:r>
      <w:rPr>
        <w:rFonts w:hint="eastAsia" w:ascii="宋体" w:hAnsi="宋体" w:cs="Arial"/>
        <w:szCs w:val="21"/>
      </w:rPr>
      <w:t>网络求职</w:t>
    </w:r>
    <w:r>
      <w:rPr>
        <w:rFonts w:ascii="宋体" w:hAnsi="宋体" w:cs="Arial"/>
        <w:szCs w:val="21"/>
      </w:rPr>
      <w:t>招聘平台</w:t>
    </w:r>
    <w:r>
      <w:rPr>
        <w:rFonts w:hint="eastAsia" w:ascii="宋体" w:hAnsi="宋体" w:cs="Arial"/>
        <w:szCs w:val="21"/>
      </w:rPr>
      <w:t>。</w:t>
    </w:r>
  </w:p>
  <w:p>
    <w:pPr>
      <w:pStyle w:val="7"/>
      <w:jc w:val="center"/>
    </w:pPr>
    <w:r>
      <mc:AlternateContent>
        <mc:Choice Requires="wps">
          <w:drawing>
            <wp:anchor distT="0" distB="0" distL="114300" distR="114300" simplePos="0" relativeHeight="251658240" behindDoc="0" locked="0" layoutInCell="1" allowOverlap="1">
              <wp:simplePos x="0" y="0"/>
              <wp:positionH relativeFrom="margin">
                <wp:posOffset>2601595</wp:posOffset>
              </wp:positionH>
              <wp:positionV relativeFrom="paragraph">
                <wp:posOffset>1905</wp:posOffset>
              </wp:positionV>
              <wp:extent cx="878840" cy="1924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878840" cy="192405"/>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3</w:t>
                          </w:r>
                          <w:r>
                            <w:rPr>
                              <w:sz w:val="18"/>
                            </w:rPr>
                            <w:fldChar w:fldCharType="end"/>
                          </w:r>
                          <w:r>
                            <w:rPr>
                              <w:rFonts w:hint="eastAsia"/>
                              <w:sz w:val="18"/>
                            </w:rPr>
                            <w:t xml:space="preserve"> 页</w:t>
                          </w:r>
                        </w:p>
                      </w:txbxContent>
                    </wps:txbx>
                    <wps:bodyPr lIns="0" tIns="0" rIns="0" bIns="0" upright="1"/>
                  </wps:wsp>
                </a:graphicData>
              </a:graphic>
            </wp:anchor>
          </w:drawing>
        </mc:Choice>
        <mc:Fallback>
          <w:pict>
            <v:shape id="_x0000_s1026" o:spid="_x0000_s1026" o:spt="202" type="#_x0000_t202" style="position:absolute;left:0pt;margin-left:204.85pt;margin-top:0.15pt;height:15.15pt;width:69.2pt;mso-position-horizontal-relative:margin;z-index:251658240;mso-width-relative:page;mso-height-relative:page;" filled="f" stroked="f" coordsize="21600,21600" o:gfxdata="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FYqFh1gAAAAcBAAAPAAAAAAAAAAEAIAAAACIAAABkcnMvZG93bnJldi54bWxQSwECFAAU&#10;AAAACACHTuJAlTwInroBAABxAwAADgAAAAAAAAABACAAAAAlAQAAZHJzL2Uyb0RvYy54bWxQSwUG&#10;AAAAAAYABgBZAQAAUQUAAAAA&#10;">
              <v:fill on="f" focussize="0,0"/>
              <v:stroke on="f"/>
              <v:imagedata o:title=""/>
              <o:lock v:ext="edit" aspectratio="f"/>
              <v:textbox inset="0mm,0mm,0mm,0mm">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3</w:t>
                    </w:r>
                    <w:r>
                      <w:rPr>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r>
      <w:fldChar w:fldCharType="begin"/>
    </w:r>
    <w:r>
      <w:instrText xml:space="preserve"> HYPERLINK "http://sn.job1001.com" \t "_blank" </w:instrText>
    </w:r>
    <w:r>
      <w:fldChar w:fldCharType="separate"/>
    </w:r>
    <w:r>
      <w:fldChar w:fldCharType="end"/>
    </w:r>
    <w:r>
      <w:rPr>
        <w:rFonts w:hint="eastAsia"/>
      </w:rPr>
      <w:t xml:space="preserve">  </w:t>
    </w:r>
    <w:r>
      <w:rPr>
        <w:rFonts w:hint="eastAsia" w:ascii="楷体_GB2312" w:eastAsia="楷体_GB2312"/>
        <w:b/>
        <w:color w:val="FF0000"/>
        <w:sz w:val="32"/>
        <w:szCs w:val="32"/>
      </w:rPr>
      <w:drawing>
        <wp:inline distT="0" distB="0" distL="0" distR="0">
          <wp:extent cx="1866900" cy="647700"/>
          <wp:effectExtent l="19050" t="0" r="0" b="0"/>
          <wp:docPr id="1" name="图片 1" descr="job1001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ob1001logo[1]"/>
                  <pic:cNvPicPr>
                    <a:picLocks noChangeAspect="1" noChangeArrowheads="1"/>
                  </pic:cNvPicPr>
                </pic:nvPicPr>
                <pic:blipFill>
                  <a:blip r:embed="rId1"/>
                  <a:srcRect/>
                  <a:stretch>
                    <a:fillRect/>
                  </a:stretch>
                </pic:blipFill>
                <pic:spPr>
                  <a:xfrm>
                    <a:off x="0" y="0"/>
                    <a:ext cx="1866900" cy="647700"/>
                  </a:xfrm>
                  <a:prstGeom prst="rect">
                    <a:avLst/>
                  </a:prstGeom>
                  <a:noFill/>
                  <a:ln w="9525">
                    <a:noFill/>
                    <a:miter lim="800000"/>
                    <a:headEnd/>
                    <a:tailEnd/>
                  </a:ln>
                </pic:spPr>
              </pic:pic>
            </a:graphicData>
          </a:graphic>
        </wp:inline>
      </w:drawing>
    </w:r>
    <w:r>
      <w:rPr>
        <w:rFonts w:hint="eastAsia"/>
      </w:rPr>
      <w:t xml:space="preserve">               </w:t>
    </w:r>
    <w:r>
      <w:rPr>
        <w:rFonts w:hint="eastAsia" w:ascii="楷体_GB2312" w:eastAsia="楷体_GB2312"/>
        <w:b/>
        <w:color w:val="FF0000"/>
        <w:sz w:val="32"/>
        <w:szCs w:val="32"/>
      </w:rPr>
      <w:t xml:space="preserve">               </w:t>
    </w:r>
    <w:r>
      <w:rPr>
        <w:rFonts w:hint="eastAsia" w:ascii="楷体_GB2312" w:eastAsia="楷体_GB2312"/>
        <w:b/>
        <w:sz w:val="24"/>
      </w:rPr>
      <w:t>合同号 ：TMLT.</w:t>
    </w:r>
    <w:r>
      <w:rPr>
        <w:rFonts w:hint="eastAsia" w:ascii="楷体_GB2312" w:eastAsia="楷体_GB2312"/>
        <w:b/>
        <w:sz w:val="24"/>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900"/>
        </w:tabs>
        <w:ind w:left="900" w:hanging="360"/>
      </w:pPr>
      <w:rPr>
        <w:rFonts w:hint="default"/>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0A4F"/>
    <w:rsid w:val="000C1685"/>
    <w:rsid w:val="000C5C10"/>
    <w:rsid w:val="001273E2"/>
    <w:rsid w:val="00171B25"/>
    <w:rsid w:val="00172A27"/>
    <w:rsid w:val="002449D7"/>
    <w:rsid w:val="002509CF"/>
    <w:rsid w:val="00432113"/>
    <w:rsid w:val="00440225"/>
    <w:rsid w:val="004D09F7"/>
    <w:rsid w:val="0053769B"/>
    <w:rsid w:val="005F4B25"/>
    <w:rsid w:val="00612732"/>
    <w:rsid w:val="00662269"/>
    <w:rsid w:val="00675CE5"/>
    <w:rsid w:val="007C4216"/>
    <w:rsid w:val="00894035"/>
    <w:rsid w:val="008B206C"/>
    <w:rsid w:val="00A67ABB"/>
    <w:rsid w:val="00B24CD0"/>
    <w:rsid w:val="00B3518E"/>
    <w:rsid w:val="00B83525"/>
    <w:rsid w:val="00D11C46"/>
    <w:rsid w:val="00D52311"/>
    <w:rsid w:val="00F266BD"/>
    <w:rsid w:val="01582BC2"/>
    <w:rsid w:val="0616204D"/>
    <w:rsid w:val="0AE30B6B"/>
    <w:rsid w:val="0B2147F4"/>
    <w:rsid w:val="0BA41221"/>
    <w:rsid w:val="0BD85D15"/>
    <w:rsid w:val="10DF598C"/>
    <w:rsid w:val="186F0A6C"/>
    <w:rsid w:val="1F1D09F4"/>
    <w:rsid w:val="211374D4"/>
    <w:rsid w:val="229F0FDC"/>
    <w:rsid w:val="25591928"/>
    <w:rsid w:val="26343C8C"/>
    <w:rsid w:val="2AEA018C"/>
    <w:rsid w:val="2CA84916"/>
    <w:rsid w:val="2D1F711F"/>
    <w:rsid w:val="31C04E7A"/>
    <w:rsid w:val="3709241C"/>
    <w:rsid w:val="3DC23ABB"/>
    <w:rsid w:val="3E841FE0"/>
    <w:rsid w:val="40477533"/>
    <w:rsid w:val="406F22C2"/>
    <w:rsid w:val="428735FC"/>
    <w:rsid w:val="43AF0D71"/>
    <w:rsid w:val="47250BC9"/>
    <w:rsid w:val="4EF213C3"/>
    <w:rsid w:val="51EC5D08"/>
    <w:rsid w:val="53873CEE"/>
    <w:rsid w:val="598360EF"/>
    <w:rsid w:val="5B425EBB"/>
    <w:rsid w:val="5B51079A"/>
    <w:rsid w:val="5D187049"/>
    <w:rsid w:val="5FA233C1"/>
    <w:rsid w:val="6B813624"/>
    <w:rsid w:val="6C811966"/>
    <w:rsid w:val="6EB57775"/>
    <w:rsid w:val="70654B52"/>
    <w:rsid w:val="726E05D0"/>
    <w:rsid w:val="72F57331"/>
    <w:rsid w:val="730040BD"/>
    <w:rsid w:val="74515BB2"/>
    <w:rsid w:val="771B0B0B"/>
    <w:rsid w:val="77FB68AC"/>
    <w:rsid w:val="7D675CB7"/>
    <w:rsid w:val="7FF84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jc w:val="left"/>
      <w:outlineLvl w:val="0"/>
    </w:pPr>
    <w:rPr>
      <w:rFonts w:ascii="微软雅黑" w:hAnsi="微软雅黑" w:eastAsia="微软雅黑" w:cs="微软雅黑"/>
      <w:b/>
      <w:color w:val="525464"/>
      <w:kern w:val="44"/>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qFormat/>
    <w:uiPriority w:val="0"/>
    <w:pPr>
      <w:shd w:val="clear" w:color="auto" w:fill="000080"/>
    </w:pPr>
  </w:style>
  <w:style w:type="paragraph" w:styleId="4">
    <w:name w:val="annotation text"/>
    <w:basedOn w:val="1"/>
    <w:qFormat/>
    <w:uiPriority w:val="0"/>
    <w:pPr>
      <w:jc w:val="left"/>
    </w:pPr>
  </w:style>
  <w:style w:type="paragraph" w:styleId="5">
    <w:name w:val="Body Text"/>
    <w:basedOn w:val="1"/>
    <w:qFormat/>
    <w:uiPriority w:val="0"/>
    <w:pPr>
      <w:jc w:val="center"/>
    </w:pPr>
    <w:rPr>
      <w:rFonts w:ascii="Arial" w:hAnsi="Arial" w:cs="Arial"/>
      <w:sz w:val="30"/>
    </w:r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qFormat/>
    <w:uiPriority w:val="0"/>
    <w:rPr>
      <w:b/>
      <w:bCs/>
    </w:rPr>
  </w:style>
  <w:style w:type="character" w:styleId="12">
    <w:name w:val="FollowedHyperlink"/>
    <w:basedOn w:val="11"/>
    <w:qFormat/>
    <w:uiPriority w:val="0"/>
    <w:rPr>
      <w:color w:val="800080"/>
      <w:u w:val="none"/>
    </w:rPr>
  </w:style>
  <w:style w:type="character" w:styleId="13">
    <w:name w:val="Emphasis"/>
    <w:basedOn w:val="11"/>
    <w:qFormat/>
    <w:uiPriority w:val="0"/>
    <w:rPr>
      <w:color w:val="CC0000"/>
    </w:rPr>
  </w:style>
  <w:style w:type="character" w:styleId="14">
    <w:name w:val="Hyperlink"/>
    <w:basedOn w:val="11"/>
    <w:qFormat/>
    <w:uiPriority w:val="0"/>
    <w:rPr>
      <w:color w:val="0000FF"/>
      <w:u w:val="none"/>
    </w:rPr>
  </w:style>
  <w:style w:type="character" w:styleId="15">
    <w:name w:val="annotation reference"/>
    <w:basedOn w:val="11"/>
    <w:qFormat/>
    <w:uiPriority w:val="0"/>
    <w:rPr>
      <w:sz w:val="21"/>
      <w:szCs w:val="21"/>
    </w:rPr>
  </w:style>
  <w:style w:type="character" w:customStyle="1" w:styleId="16">
    <w:name w:val="plug_pageindex"/>
    <w:basedOn w:val="11"/>
    <w:qFormat/>
    <w:uiPriority w:val="0"/>
    <w:rPr>
      <w:b/>
      <w:color w:val="ED4E4E"/>
      <w:shd w:val="clear" w:color="auto" w:fill="FFFFFF"/>
    </w:rPr>
  </w:style>
  <w:style w:type="paragraph" w:customStyle="1" w:styleId="17">
    <w:name w:val="HTML Bottom of Form"/>
    <w:basedOn w:val="1"/>
    <w:next w:val="1"/>
    <w:qFormat/>
    <w:uiPriority w:val="0"/>
    <w:pPr>
      <w:pBdr>
        <w:top w:val="single" w:color="auto" w:sz="6" w:space="1"/>
      </w:pBdr>
      <w:jc w:val="center"/>
    </w:pPr>
    <w:rPr>
      <w:rFonts w:ascii="Arial"/>
      <w:vanish/>
      <w:sz w:val="16"/>
    </w:rPr>
  </w:style>
  <w:style w:type="paragraph" w:customStyle="1" w:styleId="18">
    <w:name w:val="p0"/>
    <w:basedOn w:val="1"/>
    <w:qFormat/>
    <w:uiPriority w:val="0"/>
    <w:pPr>
      <w:widowControl/>
    </w:pPr>
    <w:rPr>
      <w:kern w:val="0"/>
      <w:szCs w:val="21"/>
    </w:rPr>
  </w:style>
  <w:style w:type="paragraph" w:customStyle="1" w:styleId="19">
    <w:name w:val="p15"/>
    <w:basedOn w:val="1"/>
    <w:qFormat/>
    <w:uiPriority w:val="0"/>
    <w:pPr>
      <w:widowControl/>
      <w:jc w:val="center"/>
    </w:pPr>
    <w:rPr>
      <w:rFonts w:ascii="Arial" w:hAnsi="Arial" w:cs="Arial"/>
      <w:kern w:val="0"/>
      <w:sz w:val="24"/>
    </w:rPr>
  </w:style>
  <w:style w:type="paragraph" w:customStyle="1" w:styleId="20">
    <w:name w:val="HTML Top of Form"/>
    <w:basedOn w:val="1"/>
    <w:next w:val="1"/>
    <w:qFormat/>
    <w:uiPriority w:val="0"/>
    <w:pPr>
      <w:pBdr>
        <w:bottom w:val="single" w:color="auto" w:sz="6" w:space="1"/>
      </w:pBdr>
      <w:jc w:val="center"/>
    </w:pPr>
    <w:rPr>
      <w:rFonts w:ascii="Arial"/>
      <w:vanish/>
      <w:sz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199DFF-35B6-4218-8CE8-EAFF7C6DFE4F}">
  <ds:schemaRefs/>
</ds:datastoreItem>
</file>

<file path=docProps/app.xml><?xml version="1.0" encoding="utf-8"?>
<Properties xmlns="http://schemas.openxmlformats.org/officeDocument/2006/extended-properties" xmlns:vt="http://schemas.openxmlformats.org/officeDocument/2006/docPropsVTypes">
  <Template>Normal</Template>
  <Company>***</Company>
  <Pages>3</Pages>
  <Words>478</Words>
  <Characters>2730</Characters>
  <Lines>22</Lines>
  <Paragraphs>6</Paragraphs>
  <TotalTime>2</TotalTime>
  <ScaleCrop>false</ScaleCrop>
  <LinksUpToDate>false</LinksUpToDate>
  <CharactersWithSpaces>3202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2019-03-19T08:36:00Z</dcterms:created>
  <dc:creator>*</dc:creator>
  <cp:lastModifiedBy>Administrator</cp:lastModifiedBy>
  <dcterms:modified xsi:type="dcterms:W3CDTF">2021-05-31T01:36:04Z</dcterms:modified>
  <dc:title>一览英才网合同</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