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sz w:val="36"/>
          <w:szCs w:val="36"/>
        </w:rPr>
      </w:pPr>
      <w:r>
        <w:rPr>
          <w:rFonts w:hint="eastAsia" w:ascii="宋体" w:hAnsi="宋体" w:eastAsia="宋体" w:cs="宋体"/>
          <w:sz w:val="36"/>
          <w:szCs w:val="36"/>
        </w:rPr>
        <w:t>潍坊光华荣昌汽车技术有限公司风险自查报告</w:t>
      </w:r>
    </w:p>
    <w:p>
      <w:pPr>
        <w:numPr>
          <w:ilvl w:val="0"/>
          <w:numId w:val="1"/>
        </w:numPr>
        <w:jc w:val="left"/>
        <w:rPr>
          <w:rFonts w:hint="eastAsia" w:ascii="宋体" w:hAnsi="宋体" w:eastAsia="宋体" w:cs="宋体"/>
          <w:sz w:val="32"/>
          <w:szCs w:val="32"/>
          <w:lang w:eastAsia="zh-CN"/>
        </w:rPr>
      </w:pPr>
      <w:r>
        <w:rPr>
          <w:rFonts w:hint="eastAsia" w:ascii="宋体" w:hAnsi="宋体" w:eastAsia="宋体" w:cs="宋体"/>
          <w:sz w:val="32"/>
          <w:szCs w:val="32"/>
          <w:lang w:eastAsia="zh-CN"/>
        </w:rPr>
        <w:t>公司的基本情况</w:t>
      </w:r>
    </w:p>
    <w:p>
      <w:pPr>
        <w:numPr>
          <w:numId w:val="0"/>
        </w:numPr>
        <w:ind w:firstLine="560" w:firstLineChars="200"/>
        <w:jc w:val="left"/>
        <w:rPr>
          <w:rFonts w:hint="eastAsia" w:ascii="宋体" w:hAnsi="宋体" w:eastAsia="宋体" w:cs="宋体"/>
          <w:sz w:val="28"/>
          <w:szCs w:val="28"/>
          <w:lang w:val="en-US" w:eastAsia="zh-CN"/>
        </w:rPr>
      </w:pPr>
      <w:r>
        <w:rPr>
          <w:rFonts w:hint="eastAsia" w:ascii="宋体" w:hAnsi="宋体" w:eastAsia="宋体" w:cs="宋体"/>
          <w:sz w:val="28"/>
          <w:szCs w:val="28"/>
          <w:lang w:eastAsia="zh-CN"/>
        </w:rPr>
        <w:t>潍坊光华荣昌汽车技术有限公司，成立于</w:t>
      </w:r>
      <w:r>
        <w:rPr>
          <w:rFonts w:hint="eastAsia" w:ascii="宋体" w:hAnsi="宋体" w:eastAsia="宋体" w:cs="宋体"/>
          <w:sz w:val="28"/>
          <w:szCs w:val="28"/>
          <w:lang w:val="en-US" w:eastAsia="zh-CN"/>
        </w:rPr>
        <w:t>2016年6月6日，位于山东省潍坊市高新区清池街道张营社区樱前街5157号。公司主要经营汽车新技术研究服务、汽车零配件组装、生产、销售；建筑材料、五金产品以及国家允许的货物及技术进出口贸易。</w:t>
      </w:r>
    </w:p>
    <w:p>
      <w:pPr>
        <w:numPr>
          <w:numId w:val="0"/>
        </w:numPr>
        <w:jc w:val="left"/>
        <w:rPr>
          <w:rFonts w:hint="default" w:ascii="宋体" w:hAnsi="宋体" w:eastAsia="宋体" w:cs="宋体"/>
          <w:sz w:val="32"/>
          <w:szCs w:val="32"/>
          <w:lang w:val="en-US" w:eastAsia="zh-CN"/>
        </w:rPr>
      </w:pPr>
      <w:r>
        <w:rPr>
          <w:rFonts w:hint="eastAsia" w:ascii="宋体" w:hAnsi="宋体" w:eastAsia="宋体" w:cs="宋体"/>
          <w:sz w:val="32"/>
          <w:szCs w:val="32"/>
          <w:lang w:val="en-US" w:eastAsia="zh-CN"/>
        </w:rPr>
        <w:t>二、关于税收预警说明</w:t>
      </w:r>
    </w:p>
    <w:p>
      <w:pPr>
        <w:numPr>
          <w:ilvl w:val="0"/>
          <w:numId w:val="2"/>
        </w:numPr>
        <w:jc w:val="left"/>
        <w:rPr>
          <w:rFonts w:ascii="宋体" w:hAnsi="宋体" w:eastAsia="宋体" w:cs="宋体"/>
          <w:sz w:val="28"/>
          <w:szCs w:val="28"/>
        </w:rPr>
      </w:pPr>
      <w:r>
        <w:rPr>
          <w:rFonts w:hint="eastAsia" w:ascii="宋体" w:hAnsi="宋体" w:eastAsia="宋体" w:cs="宋体"/>
          <w:sz w:val="28"/>
          <w:szCs w:val="28"/>
        </w:rPr>
        <w:t>成本费用利润率偏低的预警</w:t>
      </w:r>
    </w:p>
    <w:p>
      <w:pPr>
        <w:numPr>
          <w:numId w:val="0"/>
        </w:numPr>
        <w:jc w:val="left"/>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2018年费用成本率是-4.55%，2017年费用成本率是4.99%。</w:t>
      </w:r>
      <w:r>
        <w:rPr>
          <w:rFonts w:hint="eastAsia" w:ascii="宋体" w:hAnsi="宋体" w:eastAsia="宋体" w:cs="宋体"/>
          <w:sz w:val="28"/>
          <w:szCs w:val="28"/>
        </w:rPr>
        <w:t>以上报表数字取自山东省电子税务局网上申报系统的年报数据，2017年数据跟本公司实际财务系统有差异，实际2017</w:t>
      </w:r>
      <w:r>
        <w:rPr>
          <w:rFonts w:hint="eastAsia" w:ascii="宋体" w:hAnsi="宋体" w:eastAsia="宋体" w:cs="宋体"/>
          <w:sz w:val="28"/>
          <w:szCs w:val="28"/>
          <w:lang w:eastAsia="zh-CN"/>
        </w:rPr>
        <w:t>年成本率是</w:t>
      </w:r>
      <w:r>
        <w:rPr>
          <w:rFonts w:hint="eastAsia" w:ascii="宋体" w:hAnsi="宋体" w:eastAsia="宋体" w:cs="宋体"/>
          <w:sz w:val="28"/>
          <w:szCs w:val="28"/>
          <w:lang w:val="en-US" w:eastAsia="zh-CN"/>
        </w:rPr>
        <w:t>-1.41%。</w:t>
      </w:r>
    </w:p>
    <w:p>
      <w:pPr>
        <w:jc w:val="left"/>
        <w:rPr>
          <w:rFonts w:ascii="宋体" w:hAnsi="宋体" w:eastAsia="宋体" w:cs="宋体"/>
          <w:sz w:val="28"/>
          <w:szCs w:val="28"/>
        </w:rPr>
      </w:pPr>
      <w:r>
        <w:rPr>
          <w:rFonts w:hint="eastAsia" w:ascii="宋体" w:hAnsi="宋体" w:eastAsia="宋体" w:cs="宋体"/>
          <w:sz w:val="28"/>
          <w:szCs w:val="28"/>
        </w:rPr>
        <w:t>两者数据不一致原因有以下几点：</w:t>
      </w:r>
    </w:p>
    <w:p>
      <w:pPr>
        <w:numPr>
          <w:ilvl w:val="0"/>
          <w:numId w:val="3"/>
        </w:numPr>
        <w:jc w:val="left"/>
        <w:rPr>
          <w:rFonts w:ascii="宋体" w:hAnsi="宋体" w:eastAsia="宋体" w:cs="宋体"/>
          <w:sz w:val="28"/>
          <w:szCs w:val="28"/>
        </w:rPr>
      </w:pPr>
      <w:r>
        <w:rPr>
          <w:rFonts w:hint="eastAsia" w:ascii="宋体" w:hAnsi="宋体" w:eastAsia="宋体" w:cs="宋体"/>
          <w:sz w:val="28"/>
          <w:szCs w:val="28"/>
        </w:rPr>
        <w:t>公司2017年财务结账时的报表数据，与税务汇算清缴时的数据发生变化，</w:t>
      </w:r>
      <w:r>
        <w:rPr>
          <w:rFonts w:hint="eastAsia" w:ascii="宋体" w:hAnsi="宋体" w:eastAsia="宋体" w:cs="宋体"/>
          <w:sz w:val="28"/>
          <w:szCs w:val="28"/>
          <w:lang w:eastAsia="zh-CN"/>
        </w:rPr>
        <w:t>原因是公司</w:t>
      </w:r>
      <w:r>
        <w:rPr>
          <w:rFonts w:hint="eastAsia" w:ascii="宋体" w:hAnsi="宋体" w:eastAsia="宋体" w:cs="宋体"/>
          <w:sz w:val="28"/>
          <w:szCs w:val="28"/>
          <w:lang w:val="en-US" w:eastAsia="zh-CN"/>
        </w:rPr>
        <w:t>2017年开始单独核算，采用手工核算法方法，在成本归集、BOM等方面有欠缺，等到2018年末财务系统上线，发现按照标准BOM核算出的生产成本比之前的多409万，所以调整了2017年的财务报表，导致跟税务申报时不一致，因为涉及退税问题，并没有及时去申请更正报表。</w:t>
      </w:r>
    </w:p>
    <w:p>
      <w:pPr>
        <w:numPr>
          <w:ilvl w:val="0"/>
          <w:numId w:val="3"/>
        </w:numPr>
        <w:jc w:val="left"/>
        <w:rPr>
          <w:rFonts w:ascii="宋体" w:hAnsi="宋体" w:eastAsia="宋体" w:cs="宋体"/>
          <w:sz w:val="28"/>
          <w:szCs w:val="28"/>
        </w:rPr>
      </w:pPr>
      <w:r>
        <w:rPr>
          <w:rFonts w:hint="eastAsia" w:ascii="宋体" w:hAnsi="宋体" w:eastAsia="宋体" w:cs="宋体"/>
          <w:sz w:val="28"/>
          <w:szCs w:val="28"/>
          <w:lang w:val="en-US" w:eastAsia="zh-CN"/>
        </w:rPr>
        <w:t>2017年的采购价比2018年的采购价低了10个点，主要涉及9家供应商，涉及成本金额1267791.47元。所以2018年的成本率要比2017年低。</w:t>
      </w:r>
    </w:p>
    <w:p>
      <w:pPr>
        <w:numPr>
          <w:ilvl w:val="0"/>
          <w:numId w:val="2"/>
        </w:numPr>
        <w:jc w:val="left"/>
        <w:rPr>
          <w:rFonts w:ascii="宋体" w:hAnsi="宋体" w:eastAsia="宋体" w:cs="宋体"/>
          <w:sz w:val="28"/>
          <w:szCs w:val="28"/>
        </w:rPr>
      </w:pPr>
      <w:r>
        <w:rPr>
          <w:rFonts w:hint="eastAsia" w:ascii="宋体" w:hAnsi="宋体" w:eastAsia="宋体" w:cs="宋体"/>
          <w:sz w:val="28"/>
          <w:szCs w:val="28"/>
        </w:rPr>
        <w:t>存货与往来款项结转异常的预警</w:t>
      </w:r>
    </w:p>
    <w:p>
      <w:pPr>
        <w:jc w:val="left"/>
        <w:rPr>
          <w:rFonts w:hint="eastAsia" w:ascii="宋体" w:hAnsi="宋体" w:eastAsia="宋体" w:cs="宋体"/>
          <w:sz w:val="28"/>
          <w:szCs w:val="28"/>
        </w:rPr>
      </w:pPr>
      <w:r>
        <w:rPr>
          <w:rFonts w:hint="eastAsia" w:ascii="宋体" w:hAnsi="宋体" w:eastAsia="宋体" w:cs="宋体"/>
          <w:sz w:val="28"/>
          <w:szCs w:val="28"/>
        </w:rPr>
        <w:t>主要涉及存货、应收账款、应付账款、其他应付款、预付账款五个科目，在2018年年末的余额和2019年年初的余额不一致</w:t>
      </w:r>
      <w:r>
        <w:rPr>
          <w:rFonts w:hint="eastAsia" w:ascii="宋体" w:hAnsi="宋体" w:eastAsia="宋体" w:cs="宋体"/>
          <w:sz w:val="28"/>
          <w:szCs w:val="28"/>
          <w:lang w:eastAsia="zh-CN"/>
        </w:rPr>
        <w:t>。</w:t>
      </w:r>
      <w:r>
        <w:rPr>
          <w:rFonts w:hint="eastAsia" w:ascii="宋体" w:hAnsi="宋体" w:eastAsia="宋体" w:cs="宋体"/>
          <w:sz w:val="28"/>
          <w:szCs w:val="28"/>
        </w:rPr>
        <w:t>公司成立至2018年末，一直采用手工核算，2019年初开始使用QAD系统，系统上线时对财务账务、存货进行了彻底清理，由于手工核算与系统核算在往来记录上存在差异，如同一家供应商同时挂账应收账款和预收账款，</w:t>
      </w:r>
      <w:r>
        <w:rPr>
          <w:rFonts w:hint="eastAsia" w:ascii="宋体" w:hAnsi="宋体" w:eastAsia="宋体" w:cs="宋体"/>
          <w:sz w:val="28"/>
          <w:szCs w:val="28"/>
          <w:lang w:eastAsia="zh-CN"/>
        </w:rPr>
        <w:t>手工核算时，在编制报表时并没有核销，但是</w:t>
      </w:r>
      <w:r>
        <w:rPr>
          <w:rFonts w:hint="eastAsia" w:ascii="宋体" w:hAnsi="宋体" w:eastAsia="宋体" w:cs="宋体"/>
          <w:sz w:val="28"/>
          <w:szCs w:val="28"/>
        </w:rPr>
        <w:t>QAD</w:t>
      </w:r>
      <w:r>
        <w:rPr>
          <w:rFonts w:hint="eastAsia" w:ascii="宋体" w:hAnsi="宋体" w:eastAsia="宋体" w:cs="宋体"/>
          <w:sz w:val="28"/>
          <w:szCs w:val="28"/>
          <w:lang w:eastAsia="zh-CN"/>
        </w:rPr>
        <w:t>系统人员在上线时做了手工核销</w:t>
      </w:r>
      <w:r>
        <w:rPr>
          <w:rFonts w:hint="eastAsia" w:ascii="宋体" w:hAnsi="宋体" w:eastAsia="宋体" w:cs="宋体"/>
          <w:sz w:val="28"/>
          <w:szCs w:val="28"/>
        </w:rPr>
        <w:t>，导致上线初期往来出现差异，该问题在所得税汇算清缴时进行了调整，导致一季度资产负债表提报的往来数据与汇算清缴提报的往来数据不一致，但不影响往来核销后的数据。2019年一季度报表存货科目与年末及其他季度报表不一致，为财务提报错误，我们可以申请更正。</w:t>
      </w:r>
    </w:p>
    <w:p>
      <w:pPr>
        <w:numPr>
          <w:ilvl w:val="0"/>
          <w:numId w:val="2"/>
        </w:numPr>
        <w:jc w:val="left"/>
        <w:rPr>
          <w:rFonts w:ascii="宋体" w:hAnsi="宋体" w:eastAsia="宋体" w:cs="宋体"/>
          <w:sz w:val="28"/>
          <w:szCs w:val="28"/>
        </w:rPr>
      </w:pPr>
      <w:r>
        <w:rPr>
          <w:rFonts w:hint="eastAsia" w:ascii="宋体" w:hAnsi="宋体" w:eastAsia="宋体" w:cs="宋体"/>
          <w:sz w:val="28"/>
          <w:szCs w:val="28"/>
        </w:rPr>
        <w:t>关于2020年进项税额和销项税额与2019年同期相比变化幅度较大的原因，2020年虽然是疫情，但是本公司产品涉及急救车的组成零部件，自大年初四开始加班加点完成急救车的装车任务，所有订单都是正常的生产销售任务。2020年实现了成立以来销售收入的最高点1.29亿，平均季度收入3247万，2019年全年不含税收入8378万，平均季度收入2094万，收入提高了55.03%，那么相应的成本必然会提升，销项税额和进项税额与2019年同季度相比，变化幅度偏大也是正常，所有的收入和成本材料都有原始票据支撑，业务合理合规合法。</w:t>
      </w:r>
    </w:p>
    <w:p>
      <w:pPr>
        <w:numPr>
          <w:ilvl w:val="0"/>
          <w:numId w:val="2"/>
        </w:numPr>
        <w:jc w:val="left"/>
        <w:rPr>
          <w:rFonts w:ascii="宋体" w:hAnsi="宋体" w:eastAsia="宋体" w:cs="宋体"/>
          <w:sz w:val="28"/>
          <w:szCs w:val="28"/>
        </w:rPr>
      </w:pPr>
      <w:r>
        <w:rPr>
          <w:rFonts w:hint="eastAsia" w:ascii="宋体" w:hAnsi="宋体" w:eastAsia="宋体" w:cs="宋体"/>
          <w:sz w:val="28"/>
          <w:szCs w:val="28"/>
        </w:rPr>
        <w:t>2018年与2017年相比销售毛利偏低</w:t>
      </w:r>
    </w:p>
    <w:p>
      <w:pPr>
        <w:jc w:val="left"/>
        <w:rPr>
          <w:rFonts w:hint="eastAsia" w:ascii="宋体" w:hAnsi="宋体" w:eastAsia="宋体" w:cs="宋体"/>
          <w:sz w:val="28"/>
          <w:szCs w:val="28"/>
          <w:lang w:val="en-US" w:eastAsia="zh-CN"/>
        </w:rPr>
      </w:pPr>
      <w:r>
        <w:rPr>
          <w:rFonts w:hint="eastAsia" w:ascii="宋体" w:hAnsi="宋体" w:eastAsia="宋体" w:cs="宋体"/>
          <w:sz w:val="28"/>
          <w:szCs w:val="28"/>
        </w:rPr>
        <w:t>（1）</w:t>
      </w:r>
      <w:r>
        <w:rPr>
          <w:rFonts w:hint="eastAsia" w:ascii="宋体" w:hAnsi="宋体" w:eastAsia="宋体" w:cs="宋体"/>
          <w:sz w:val="28"/>
          <w:szCs w:val="28"/>
          <w:lang w:val="en-US" w:eastAsia="zh-CN"/>
        </w:rPr>
        <w:t>2018年涉及主要零部件的采购价格在原基础上提高了10个点；</w:t>
      </w:r>
    </w:p>
    <w:p>
      <w:pPr>
        <w:jc w:val="left"/>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（2）2018年根据自身生成工艺和客户的要求，进行了BOM的升级和更改，统一提高了产品的标准材料耗用，即增加了原材料的耗用；</w:t>
      </w:r>
    </w:p>
    <w:p>
      <w:pPr>
        <w:jc w:val="left"/>
        <w:rPr>
          <w:rFonts w:ascii="宋体" w:hAnsi="宋体" w:eastAsia="宋体" w:cs="宋体"/>
          <w:sz w:val="28"/>
          <w:szCs w:val="28"/>
        </w:rPr>
      </w:pPr>
      <w:r>
        <w:rPr>
          <w:rFonts w:hint="eastAsia" w:ascii="宋体" w:hAnsi="宋体" w:eastAsia="宋体" w:cs="宋体"/>
          <w:sz w:val="28"/>
          <w:szCs w:val="28"/>
          <w:lang w:val="en-US" w:eastAsia="zh-CN"/>
        </w:rPr>
        <w:t>（3）2018年G7/G9车型价格涨了4个点，但是轻卡和中卡座椅降了4个点，且</w:t>
      </w:r>
      <w:r>
        <w:rPr>
          <w:rFonts w:hint="eastAsia" w:ascii="宋体" w:hAnsi="宋体" w:eastAsia="宋体" w:cs="宋体"/>
          <w:sz w:val="28"/>
          <w:szCs w:val="28"/>
        </w:rPr>
        <w:t>2017年主要销售G7/G9车型，4584万，占比63%，轻卡中卡占37%，2018年G7/G9销售占比47%,轻卡中卡销售占比53%。销售结构的变化导致影响销售毛利降低。</w:t>
      </w:r>
    </w:p>
    <w:p>
      <w:pPr>
        <w:jc w:val="left"/>
        <w:rPr>
          <w:rFonts w:ascii="宋体" w:hAnsi="宋体" w:eastAsia="宋体" w:cs="宋体"/>
          <w:sz w:val="28"/>
          <w:szCs w:val="28"/>
        </w:rPr>
      </w:pPr>
      <w:r>
        <w:rPr>
          <w:rFonts w:hint="eastAsia" w:ascii="宋体" w:hAnsi="宋体" w:eastAsia="宋体" w:cs="宋体"/>
          <w:sz w:val="28"/>
          <w:szCs w:val="28"/>
        </w:rPr>
        <w:t>5、2018年与2017年相比营业成本和营业收入弹性系数变化较大的原因同上面第四条一样。</w:t>
      </w:r>
    </w:p>
    <w:p>
      <w:pPr>
        <w:jc w:val="left"/>
        <w:rPr>
          <w:rFonts w:ascii="宋体" w:hAnsi="宋体" w:eastAsia="宋体" w:cs="宋体"/>
          <w:sz w:val="28"/>
          <w:szCs w:val="28"/>
        </w:rPr>
      </w:pPr>
      <w:r>
        <w:rPr>
          <w:rFonts w:hint="eastAsia" w:ascii="宋体" w:hAnsi="宋体" w:eastAsia="宋体" w:cs="宋体"/>
          <w:sz w:val="28"/>
          <w:szCs w:val="28"/>
        </w:rPr>
        <w:t>6-7、增值税未开发票销售额有负数的预警，统计如下：</w:t>
      </w:r>
    </w:p>
    <w:p>
      <w:pPr>
        <w:jc w:val="left"/>
        <w:rPr>
          <w:rFonts w:ascii="宋体" w:hAnsi="宋体" w:eastAsia="宋体" w:cs="宋体"/>
          <w:sz w:val="28"/>
          <w:szCs w:val="28"/>
        </w:rPr>
      </w:pPr>
      <w:r>
        <w:rPr>
          <w:rFonts w:hint="eastAsia" w:ascii="宋体" w:hAnsi="宋体" w:eastAsia="宋体" w:cs="宋体"/>
          <w:sz w:val="28"/>
          <w:szCs w:val="28"/>
        </w:rPr>
        <w:t>经过统计，从2018年2月到2019年8月，基本上都有当月预提销售收入，下月开票，再把上月预提的冲销，累计下来合计为0，所以不存在税控的预警问题。</w:t>
      </w:r>
    </w:p>
    <w:p>
      <w:pPr>
        <w:jc w:val="left"/>
        <w:rPr>
          <w:rFonts w:ascii="宋体" w:hAnsi="宋体" w:eastAsia="宋体" w:cs="宋体"/>
          <w:sz w:val="28"/>
          <w:szCs w:val="28"/>
        </w:rPr>
      </w:pPr>
      <w:r>
        <w:rPr>
          <w:rFonts w:hint="eastAsia" w:ascii="宋体" w:hAnsi="宋体" w:eastAsia="宋体" w:cs="宋体"/>
          <w:sz w:val="28"/>
          <w:szCs w:val="28"/>
        </w:rPr>
        <w:t>8、2020年增值税税负跟2019年相比偏低。</w:t>
      </w:r>
    </w:p>
    <w:p>
      <w:pPr>
        <w:jc w:val="left"/>
        <w:rPr>
          <w:rFonts w:ascii="宋体" w:hAnsi="宋体" w:eastAsia="宋体" w:cs="宋体"/>
          <w:sz w:val="28"/>
          <w:szCs w:val="28"/>
        </w:rPr>
      </w:pPr>
      <w:r>
        <w:rPr>
          <w:rFonts w:hint="eastAsia" w:ascii="宋体" w:hAnsi="宋体" w:eastAsia="宋体" w:cs="宋体"/>
          <w:sz w:val="28"/>
          <w:szCs w:val="28"/>
        </w:rPr>
        <w:t>（1）2019年和2020年税负率差异大，主要是因为2019年供应商定价延迟、资金周转困难、付货款不及时等原因，导致供应商不能及时开具增值税专用发票，进项税减少，原材料暂估金额偏大，导致2019年增值税负较高。</w:t>
      </w:r>
    </w:p>
    <w:p>
      <w:pPr>
        <w:jc w:val="left"/>
        <w:rPr>
          <w:rFonts w:ascii="宋体" w:hAnsi="宋体" w:eastAsia="宋体" w:cs="宋体"/>
          <w:sz w:val="28"/>
          <w:szCs w:val="28"/>
        </w:rPr>
      </w:pPr>
      <w:r>
        <w:rPr>
          <w:rFonts w:hint="eastAsia" w:ascii="宋体" w:hAnsi="宋体" w:eastAsia="宋体" w:cs="宋体"/>
          <w:sz w:val="28"/>
          <w:szCs w:val="28"/>
        </w:rPr>
        <w:t>（2）2020年供应商将前期发票逐渐补齐，增加了增值税进项发票，当期增值税缴纳较少，综合2019、2020年两年的增值税负，为0.7%  ，与2018年基本持平。</w:t>
      </w:r>
    </w:p>
    <w:p>
      <w:pPr>
        <w:numPr>
          <w:ilvl w:val="0"/>
          <w:numId w:val="3"/>
        </w:numPr>
        <w:ind w:left="0" w:leftChars="0" w:firstLine="0" w:firstLineChars="0"/>
        <w:jc w:val="left"/>
        <w:rPr>
          <w:rFonts w:hint="eastAsia" w:ascii="宋体" w:hAnsi="宋体" w:eastAsia="宋体" w:cs="宋体"/>
          <w:sz w:val="28"/>
          <w:szCs w:val="28"/>
        </w:rPr>
      </w:pPr>
      <w:r>
        <w:rPr>
          <w:rFonts w:hint="eastAsia" w:ascii="宋体" w:hAnsi="宋体" w:eastAsia="宋体" w:cs="宋体"/>
          <w:sz w:val="28"/>
          <w:szCs w:val="28"/>
        </w:rPr>
        <w:t>公司产品毛利偏低，2019年毛利5.52%，2019年费用占比5.47%；2020年毛利2.05%，2020年费用占比3.59%，所以公司一直处于亏损状态。但是为了整个集团的发展战略，为了取得更多的生产订单，采用低价竞标的方式取得生产订单，后期我们将通过产量提升，降低固定成本实现逐步盈利。</w:t>
      </w:r>
    </w:p>
    <w:p>
      <w:pPr>
        <w:numPr>
          <w:numId w:val="0"/>
        </w:numPr>
        <w:ind w:leftChars="0"/>
        <w:jc w:val="left"/>
        <w:rPr>
          <w:rFonts w:hint="eastAsia" w:ascii="宋体" w:hAnsi="宋体" w:eastAsia="宋体" w:cs="宋体"/>
          <w:sz w:val="32"/>
          <w:szCs w:val="32"/>
          <w:lang w:eastAsia="zh-CN"/>
        </w:rPr>
      </w:pPr>
      <w:r>
        <w:rPr>
          <w:rFonts w:hint="eastAsia" w:ascii="宋体" w:hAnsi="宋体" w:eastAsia="宋体" w:cs="宋体"/>
          <w:sz w:val="32"/>
          <w:szCs w:val="32"/>
          <w:lang w:eastAsia="zh-CN"/>
        </w:rPr>
        <w:t>三、通过自查发现以下问题</w:t>
      </w:r>
    </w:p>
    <w:p>
      <w:pPr>
        <w:numPr>
          <w:numId w:val="0"/>
        </w:numPr>
        <w:ind w:leftChars="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2019年实现开票销售收入8374万，其中内部交易额是8352万，因为当时潍坊光华荣昌的汽车座椅都是委托集团研究开发的；另外本公司的日常管理经营活动和融资成本也是由集团承担，所以内部约定给将以上两种情况的费用，直接在开票价格中体现，将开票价格降了1.5%个点。根据《国家税务总局关于母子公司间提供服务支付费用有关企业所得税处理问题的通知》，如果双方就服务项目、收费标准有明确规定，子公司可以税前扣除。但是因为双方没有开具发票，所以要做纳税调增125.28万。2019年所得税汇算清缴应纳税所得额是92万，纳税调增后，应纳税所得额为217.28万，符合小微企业，已经缴纳所得税4.6万，仍需要补交12.1万。</w:t>
      </w:r>
    </w:p>
    <w:p>
      <w:pPr>
        <w:numPr>
          <w:numId w:val="0"/>
        </w:numPr>
        <w:ind w:leftChars="0"/>
        <w:jc w:val="left"/>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2020年实现开票销售收入1.29亿，其中内部交易额1.25亿。2020年是疫情初发的一年，客户交付困难，潍坊工厂为了完成交付任务，大年初四上班，加大了人工成本，资金周转困难，集团公司进行大规模的对外融资，融资成本由各个分公司承担，潍坊公司承担1.5个点，也是自销售价格中自行扣减，没有开具销售发票，所以要纳税调增194.68万。2020年所得税汇算清缴的应纳税所得额是-36.5万，汇总之后，应纳税所得额是158.18万，符合小微企业的要求，需要补交税款10.8万。</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E9A3A7"/>
    <w:multiLevelType w:val="singleLevel"/>
    <w:tmpl w:val="85E9A3A7"/>
    <w:lvl w:ilvl="0" w:tentative="0">
      <w:start w:val="1"/>
      <w:numFmt w:val="decimal"/>
      <w:suff w:val="nothing"/>
      <w:lvlText w:val="%1、"/>
      <w:lvlJc w:val="left"/>
    </w:lvl>
  </w:abstractNum>
  <w:abstractNum w:abstractNumId="1">
    <w:nsid w:val="002FE01B"/>
    <w:multiLevelType w:val="singleLevel"/>
    <w:tmpl w:val="002FE01B"/>
    <w:lvl w:ilvl="0" w:tentative="0">
      <w:start w:val="1"/>
      <w:numFmt w:val="chineseCounting"/>
      <w:suff w:val="nothing"/>
      <w:lvlText w:val="%1、"/>
      <w:lvlJc w:val="left"/>
      <w:rPr>
        <w:rFonts w:hint="eastAsia"/>
      </w:rPr>
    </w:lvl>
  </w:abstractNum>
  <w:abstractNum w:abstractNumId="2">
    <w:nsid w:val="0D57F731"/>
    <w:multiLevelType w:val="singleLevel"/>
    <w:tmpl w:val="0D57F731"/>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FFE"/>
    <w:rsid w:val="002D7630"/>
    <w:rsid w:val="00774FFE"/>
    <w:rsid w:val="008147DD"/>
    <w:rsid w:val="00B342AB"/>
    <w:rsid w:val="00D03E98"/>
    <w:rsid w:val="00D05505"/>
    <w:rsid w:val="00D47209"/>
    <w:rsid w:val="00E44E8C"/>
    <w:rsid w:val="020910AA"/>
    <w:rsid w:val="35CA29C5"/>
    <w:rsid w:val="384029D0"/>
    <w:rsid w:val="59E014F3"/>
    <w:rsid w:val="61023353"/>
    <w:rsid w:val="6FA66617"/>
    <w:rsid w:val="7E4C79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heme="minorHAnsi" w:hAnsiTheme="minorHAnsi" w:eastAsiaTheme="minorEastAsia" w:cstheme="minorBidi"/>
      <w:kern w:val="2"/>
      <w:sz w:val="18"/>
      <w:szCs w:val="18"/>
    </w:rPr>
  </w:style>
  <w:style w:type="character" w:customStyle="1" w:styleId="7">
    <w:name w:val="页脚 Char"/>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356</Words>
  <Characters>2031</Characters>
  <Lines>16</Lines>
  <Paragraphs>4</Paragraphs>
  <TotalTime>258</TotalTime>
  <ScaleCrop>false</ScaleCrop>
  <LinksUpToDate>false</LinksUpToDate>
  <CharactersWithSpaces>2383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红菩提</cp:lastModifiedBy>
  <cp:lastPrinted>2021-06-11T02:05:44Z</cp:lastPrinted>
  <dcterms:modified xsi:type="dcterms:W3CDTF">2021-06-11T02:31:49Z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AFA5AC4D61BF49AC99ECAB4EE802254B</vt:lpwstr>
  </property>
</Properties>
</file>