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jc w:val="center"/>
        <w:rPr>
          <w:rFonts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仓储合同</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甲方: 河北光华荣昌汽车部件有限公司</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乙方: 北京广汇国际仓储服务有限公司</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第一条合同目的</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根据 福田项目及越野车项目 的供应计划，甲方将座椅总成、座椅附件、后视镜和工位器具等货物 (以下简称“货物”)存储于乙方库房，并委托乙方管理，乙方向甲方提供货物仓储服务（包括但不限于卸货、收货入库、周转箱拆解、吊装、码放器具、货物储存、货物保管、出库装载、仓储的账务管理等服务）。</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第二条货物的品名与数量</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1、 本合同项下仓储货物包括但不限于座椅总成、座椅附件、后视镜和工位器具等货物，所有权归属于甲方，详见附件一。</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2、 货物的具体品种与数量，协议双方依照共同确认并</w:t>
      </w:r>
      <w:r>
        <w:rPr>
          <w:rFonts w:hint="eastAsia" w:ascii="微软雅黑" w:hAnsi="微软雅黑" w:eastAsia="微软雅黑" w:cs="微软雅黑"/>
          <w:color w:val="000000"/>
          <w:szCs w:val="27"/>
          <w:highlight w:val="yellow"/>
          <w:lang w:eastAsia="zh-CN"/>
        </w:rPr>
        <w:t>签字</w:t>
      </w:r>
      <w:r>
        <w:rPr>
          <w:rFonts w:hint="eastAsia" w:ascii="微软雅黑" w:hAnsi="微软雅黑" w:eastAsia="微软雅黑" w:cs="微软雅黑"/>
          <w:color w:val="000000"/>
          <w:szCs w:val="27"/>
        </w:rPr>
        <w:t>的验收单为准。</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3、 如果实收货物(含内包装数量)与发货清单不符或有装错、漏装、缺件等现象,乙方应第一时间取证，</w:t>
      </w:r>
      <w:r>
        <w:rPr>
          <w:rFonts w:hint="eastAsia" w:ascii="微软雅黑" w:hAnsi="微软雅黑" w:eastAsia="微软雅黑" w:cs="微软雅黑"/>
          <w:color w:val="000000"/>
          <w:szCs w:val="27"/>
          <w:highlight w:val="yellow"/>
          <w:lang w:eastAsia="zh-CN"/>
        </w:rPr>
        <w:t>并</w:t>
      </w:r>
      <w:r>
        <w:rPr>
          <w:rFonts w:hint="eastAsia" w:ascii="微软雅黑" w:hAnsi="微软雅黑" w:eastAsia="微软雅黑" w:cs="微软雅黑"/>
          <w:color w:val="000000"/>
          <w:szCs w:val="27"/>
        </w:rPr>
        <w:t>立即通知甲方进行协调，按协调结果列入实收账目。</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第三条仓储条件</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1、 本协议项下仓库位于 北京市怀柔区杨宋镇起源生态产业园。</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2、 货物采用室内存放方式，安全设施、设备齐全。</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第四条保管要求</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1、 乙方应根据甲方的仓储管理要求对货物进行6S现场正规管理。</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2、 乙方保证完成甲方的货</w:t>
      </w:r>
      <w:r>
        <w:rPr>
          <w:rFonts w:hint="eastAsia" w:ascii="微软雅黑" w:hAnsi="微软雅黑" w:eastAsia="微软雅黑" w:cs="微软雅黑"/>
          <w:color w:val="000000"/>
          <w:szCs w:val="27"/>
          <w:highlight w:val="yellow"/>
          <w:lang w:eastAsia="zh-CN"/>
        </w:rPr>
        <w:t>物</w:t>
      </w:r>
      <w:r>
        <w:rPr>
          <w:rFonts w:hint="eastAsia" w:ascii="微软雅黑" w:hAnsi="微软雅黑" w:eastAsia="微软雅黑" w:cs="微软雅黑"/>
          <w:color w:val="000000"/>
          <w:szCs w:val="27"/>
        </w:rPr>
        <w:t>仓储服务，对货物严格执行甲方调拨指令及时出入库， 并将相关信息通报甲方。</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3、 本合同货物的所有权为甲方所有，自向乙方交付货物之时起至货物出库时止，其全部保管风险责任均由乙方承担，乙方不得以任何名义</w:t>
      </w:r>
      <w:r>
        <w:rPr>
          <w:rFonts w:hint="eastAsia" w:ascii="微软雅黑" w:hAnsi="微软雅黑" w:eastAsia="微软雅黑" w:cs="微软雅黑"/>
          <w:color w:val="000000"/>
          <w:szCs w:val="27"/>
          <w:highlight w:val="yellow"/>
          <w:lang w:eastAsia="zh-CN"/>
        </w:rPr>
        <w:t>将甲方货物</w:t>
      </w:r>
      <w:r>
        <w:rPr>
          <w:rFonts w:hint="eastAsia" w:ascii="微软雅黑" w:hAnsi="微软雅黑" w:eastAsia="微软雅黑" w:cs="微软雅黑"/>
          <w:color w:val="000000"/>
          <w:szCs w:val="27"/>
        </w:rPr>
        <w:t>用于抵押/质押/销售/转让/串换等损害甲方的利益。</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4、 甲乙双方定期进行实物对账，确保账实相符，如果出现账实不符现象。乙方负责赔偿损失。</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第五条货物的入库、仓储及出库</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1、 甲方的货物到达乙方仓库后，乙方保证卸货</w:t>
      </w:r>
      <w:r>
        <w:rPr>
          <w:rFonts w:hint="eastAsia" w:ascii="微软雅黑" w:hAnsi="微软雅黑" w:eastAsia="微软雅黑" w:cs="微软雅黑"/>
          <w:color w:val="000000"/>
          <w:szCs w:val="27"/>
          <w:highlight w:val="yellow"/>
          <w:lang w:eastAsia="zh-CN"/>
        </w:rPr>
        <w:t>时间</w:t>
      </w:r>
      <w:r>
        <w:rPr>
          <w:rFonts w:hint="eastAsia" w:ascii="微软雅黑" w:hAnsi="微软雅黑" w:eastAsia="微软雅黑" w:cs="微软雅黑"/>
          <w:color w:val="000000"/>
          <w:szCs w:val="27"/>
        </w:rPr>
        <w:t>不超过4小时，且在每天工作时间收货。</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2、 乙方收到货物后，按要求进行分类摆放，保证甲方货物的安全可靠，不受损失。甲乙双方互相要求核对帐目，各方均应积极配合。乙方每日定时给甲方报库存报表并提示甲方最低库存预警，同时乙方每月定时对货物进行盘点并向甲方提供盘点报表。</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3、 乙方按要求对甲方货物进行装车、保管、备货，出库时办理交接手续，保证在操作过程中甲方的货物不受损失。</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4、 由于仓储原因造成的货物质量和数量的损失，由乙方负责赔偿。拆解周转箱、上工装过程中，如出现货物外观不良或由此产生的甲方指定顾客不接收货物情况，损失由乙方负责。</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5、 乙方按到货批次，保证货物先进先出；乙方要定期及时将不良品，索赔件提回，并根据甲方要求通知甲方。甲方负责办理相关手续并签字确认。</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6、 乙方与甲方每天的实际入库量，必须做到日清月结，每天17:00点前把当天的入库量发给甲方，每月20日把</w:t>
      </w:r>
      <w:r>
        <w:rPr>
          <w:rFonts w:hint="eastAsia" w:ascii="微软雅黑" w:hAnsi="微软雅黑" w:eastAsia="微软雅黑" w:cs="微软雅黑"/>
          <w:color w:val="000000"/>
          <w:szCs w:val="27"/>
          <w:highlight w:val="yellow"/>
          <w:lang w:eastAsia="zh-CN"/>
        </w:rPr>
        <w:t>当</w:t>
      </w:r>
      <w:r>
        <w:rPr>
          <w:rFonts w:hint="eastAsia" w:ascii="微软雅黑" w:hAnsi="微软雅黑" w:eastAsia="微软雅黑" w:cs="微软雅黑"/>
          <w:color w:val="000000"/>
          <w:szCs w:val="27"/>
        </w:rPr>
        <w:t>月的入库统计后发给甲方核对归档。</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第六条货物的质量</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1、 乙方在货物保管期间，必须按甲方的要求对货物进行认真维护。</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2、 乙方根据甲方包装、码放标准执行，如不执行标准造成的损坏，由乙方负责。</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第七条包装回收</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1、 送交乙方仓库的专用工装器具由甲方按照使用要求配备，乙方负责甲方提供的工装器具的使用、拆解、码放及管理。</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2、 甲方提供的工装器具乙方不得挪作其它用途，乙方应妥善保管，如器具人为损坏的乙方应承担索赔费。</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3、 乙方做到器具的帐目相符，属于自然损耗的由甲方负责更换，未达到使用年限损耗的乙方应给出书面说明。如没有合理说明的乙方应照价赔偿。</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4、 如双方合作结束，乙方应无条件如数归还甲方提供的工装器具，如数量不符，需照价赔偿。</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第八条支付方式</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乙方每月20日之前将甲方每月的入库产品数量的《结算通知单》发给甲方，甲方确认无误后，按甲方入库产品数量为结算依据。乙方据结算数额向甲方提供税率为 6 %的 增值税专用 发票，甲方收到发票的30日内支付乙方费用，以电汇的方式结算。</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第九条违约责任</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1、 由于乙方不按照甲方的合理要求进行搬运和保管，或因乙方在搬运和保管过程中的过错，致使甲方的产品遭到破坏、丢失所产生的损失由乙方负担。</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2、 仓储、装卸过程中，因乙方、乙方的工作人员（包括劳务人员）或第三方等原因造成的货物质量、数量的损失及人员伤亡，由乙方负责赔偿。</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3、 因乙方未能动及时与甲方沟通，对送货计划理解有误，或未能及时掌握送货计划致使甲方向甲方指定客户产品供应不及时，所产生的损失或处罚由乙方负担。</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4、 因甲方产品本身质量问题，或对乙方验收不合格的异议、退换产品的通知怠于答复、更正、补送所产生的损失均由甲方自行负担。</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5、 因产品库存不足且甲方产品未能及时送达乙方仓库，造成乙方无法准时配送至甲方指定客户而影响甲方指定客户生产，产生的后果由甲方承担。</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6、 如甲方逾期不付款，乙方有权在书面通知甲方后停止物流配送，所造成的后果与乙方无关。</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7、 在合同期内，甲乙双方中的任意</w:t>
      </w:r>
      <w:r>
        <w:rPr>
          <w:rFonts w:hint="eastAsia" w:ascii="微软雅黑" w:hAnsi="微软雅黑" w:eastAsia="微软雅黑" w:cs="微软雅黑"/>
          <w:color w:val="000000"/>
          <w:szCs w:val="27"/>
          <w:highlight w:val="yellow"/>
          <w:lang w:eastAsia="zh-CN"/>
        </w:rPr>
        <w:t>一</w:t>
      </w:r>
      <w:r>
        <w:rPr>
          <w:rFonts w:hint="eastAsia" w:ascii="微软雅黑" w:hAnsi="微软雅黑" w:eastAsia="微软雅黑" w:cs="微软雅黑"/>
          <w:color w:val="000000"/>
          <w:szCs w:val="27"/>
        </w:rPr>
        <w:t>方擅自终止合同的全部或部分条款，违约方须按上一年结算费用总数的20%向守约方进行赔偿。</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第十条免责条款</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1、 本合同约定的不可抗力为本合同签署时，任何</w:t>
      </w:r>
      <w:r>
        <w:rPr>
          <w:rFonts w:hint="eastAsia" w:ascii="微软雅黑" w:hAnsi="微软雅黑" w:eastAsia="微软雅黑" w:cs="微软雅黑"/>
          <w:color w:val="000000"/>
          <w:szCs w:val="27"/>
          <w:highlight w:val="yellow"/>
          <w:lang w:eastAsia="zh-CN"/>
        </w:rPr>
        <w:t>一</w:t>
      </w:r>
      <w:r>
        <w:rPr>
          <w:rFonts w:hint="eastAsia" w:ascii="微软雅黑" w:hAnsi="微软雅黑" w:eastAsia="微软雅黑" w:cs="微软雅黑"/>
          <w:color w:val="000000"/>
          <w:szCs w:val="27"/>
        </w:rPr>
        <w:t>方不能预见、不能避免且事后不能克服的自然事件。如火灾、地震、洪水、风暴等;或公共道路的</w:t>
      </w:r>
      <w:r>
        <w:rPr>
          <w:rFonts w:hint="eastAsia" w:ascii="微软雅黑" w:hAnsi="微软雅黑" w:eastAsia="微软雅黑" w:cs="微软雅黑"/>
          <w:color w:val="000000"/>
          <w:szCs w:val="27"/>
          <w:highlight w:val="yellow"/>
          <w:lang w:eastAsia="zh-CN"/>
        </w:rPr>
        <w:t>关</w:t>
      </w:r>
      <w:r>
        <w:rPr>
          <w:rFonts w:hint="eastAsia" w:ascii="微软雅黑" w:hAnsi="微软雅黑" w:eastAsia="微软雅黑" w:cs="微软雅黑"/>
          <w:color w:val="000000"/>
          <w:szCs w:val="27"/>
        </w:rPr>
        <w:t>闭、政府干涉、政府控制、或任何类似大型受影响超出</w:t>
      </w:r>
      <w:r>
        <w:rPr>
          <w:rFonts w:hint="eastAsia" w:ascii="微软雅黑" w:hAnsi="微软雅黑" w:eastAsia="微软雅黑" w:cs="微软雅黑"/>
          <w:color w:val="000000"/>
          <w:szCs w:val="27"/>
          <w:highlight w:val="yellow"/>
          <w:lang w:eastAsia="zh-CN"/>
        </w:rPr>
        <w:t>双</w:t>
      </w:r>
      <w:r>
        <w:rPr>
          <w:rFonts w:hint="eastAsia" w:ascii="微软雅黑" w:hAnsi="微软雅黑" w:eastAsia="微软雅黑" w:cs="微软雅黑"/>
          <w:color w:val="000000"/>
          <w:szCs w:val="27"/>
        </w:rPr>
        <w:t>方合理控制的事件上面不能履行其在本合同</w:t>
      </w:r>
      <w:r>
        <w:rPr>
          <w:rFonts w:hint="eastAsia" w:ascii="微软雅黑" w:hAnsi="微软雅黑" w:eastAsia="微软雅黑" w:cs="微软雅黑"/>
          <w:color w:val="000000"/>
          <w:szCs w:val="27"/>
          <w:highlight w:val="yellow"/>
          <w:lang w:eastAsia="zh-CN"/>
        </w:rPr>
        <w:t>项下</w:t>
      </w:r>
      <w:r>
        <w:rPr>
          <w:rFonts w:hint="eastAsia" w:ascii="微软雅黑" w:hAnsi="微软雅黑" w:eastAsia="微软雅黑" w:cs="微软雅黑"/>
          <w:color w:val="000000"/>
          <w:szCs w:val="27"/>
        </w:rPr>
        <w:t>的义务的期间暂时</w:t>
      </w:r>
      <w:r>
        <w:rPr>
          <w:rFonts w:hint="eastAsia" w:ascii="微软雅黑" w:hAnsi="微软雅黑" w:eastAsia="微软雅黑" w:cs="微软雅黑"/>
          <w:color w:val="000000"/>
          <w:szCs w:val="27"/>
          <w:highlight w:val="yellow"/>
          <w:lang w:eastAsia="zh-CN"/>
        </w:rPr>
        <w:t>中</w:t>
      </w:r>
      <w:r>
        <w:rPr>
          <w:rFonts w:hint="eastAsia" w:ascii="微软雅黑" w:hAnsi="微软雅黑" w:eastAsia="微软雅黑" w:cs="微软雅黑"/>
          <w:color w:val="000000"/>
          <w:szCs w:val="27"/>
        </w:rPr>
        <w:t>止。</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2、 甲、乙双方中任何</w:t>
      </w:r>
      <w:r>
        <w:rPr>
          <w:rFonts w:hint="eastAsia" w:ascii="微软雅黑" w:hAnsi="微软雅黑" w:eastAsia="微软雅黑" w:cs="微软雅黑"/>
          <w:color w:val="000000"/>
          <w:szCs w:val="27"/>
          <w:highlight w:val="none"/>
        </w:rPr>
        <w:t>一</w:t>
      </w:r>
      <w:r>
        <w:rPr>
          <w:rFonts w:hint="eastAsia" w:ascii="微软雅黑" w:hAnsi="微软雅黑" w:eastAsia="微软雅黑" w:cs="微软雅黑"/>
          <w:color w:val="000000"/>
          <w:szCs w:val="27"/>
        </w:rPr>
        <w:t>方由于不可抗力原因不能履行或者不能按约定履行合同时，应立即将事故情况通知对方，并应在7天内提供事故详情及不能履行、或者部分不能履行、或者需要延期履行理由的有效证明文件。</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第十一条保密条款</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pStyle w:val="4"/>
        <w:widowControl/>
        <w:spacing w:beforeAutospacing="0" w:afterAutospacing="0"/>
        <w:rPr>
          <w:rFonts w:ascii="微软雅黑" w:hAnsi="微软雅黑" w:eastAsia="微软雅黑" w:cs="微软雅黑"/>
          <w:b/>
          <w:color w:val="000000"/>
          <w:szCs w:val="27"/>
        </w:rPr>
      </w:pPr>
      <w:r>
        <w:rPr>
          <w:rFonts w:hint="eastAsia" w:ascii="微软雅黑" w:hAnsi="微软雅黑" w:eastAsia="微软雅黑" w:cs="微软雅黑"/>
          <w:b/>
          <w:color w:val="000000"/>
          <w:szCs w:val="27"/>
        </w:rPr>
        <w:t>第十一条协议的生效、终止及其它</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1、 本合同一式两份，甲乙双方各持一份，由甲方与乙方盖章后生效，本合同期限自2021年7月1日起至2022年6月30日止。</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2、本合同未尽事宜，由甲乙方双方协商一致，书面补充协议，本协议附件及补充协议与本合同具有同等效力。如因本合同发生纠纷，先由双方友好协商一致解决，协商未果，向甲方所在地人民法院起诉解决。</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甲方: 河北光华荣昌汽车部件有限公司    乙方: 北京广汇国际仓储服务有限公司</w:t>
      </w:r>
    </w:p>
    <w:p>
      <w:pPr>
        <w:pStyle w:val="4"/>
        <w:widowControl/>
        <w:spacing w:beforeAutospacing="0" w:afterAutospacing="0"/>
        <w:rPr>
          <w:rFonts w:hint="eastAsia" w:ascii="微软雅黑" w:hAnsi="微软雅黑" w:eastAsia="微软雅黑" w:cs="微软雅黑"/>
          <w:color w:val="000000"/>
          <w:szCs w:val="27"/>
        </w:rPr>
      </w:pP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(盖章)                                        (盖章)</w:t>
      </w:r>
    </w:p>
    <w:p>
      <w:pPr>
        <w:pStyle w:val="4"/>
        <w:widowControl/>
        <w:spacing w:beforeAutospacing="0" w:afterAutospacing="0"/>
        <w:rPr>
          <w:rFonts w:ascii="微软雅黑" w:hAnsi="微软雅黑" w:eastAsia="微软雅黑" w:cs="微软雅黑"/>
          <w:color w:val="000000"/>
          <w:szCs w:val="27"/>
        </w:rPr>
      </w:pPr>
      <w:r>
        <w:rPr>
          <w:rFonts w:hint="eastAsia" w:ascii="微软雅黑" w:hAnsi="微软雅黑" w:eastAsia="微软雅黑" w:cs="微软雅黑"/>
          <w:color w:val="000000"/>
          <w:szCs w:val="27"/>
        </w:rPr>
        <w:t>授权代表签字：                               授权代表签字:</w:t>
      </w:r>
    </w:p>
    <w:p>
      <w:pPr>
        <w:pStyle w:val="4"/>
        <w:widowControl/>
        <w:spacing w:beforeAutospacing="0" w:afterAutospacing="0"/>
        <w:ind w:firstLine="120" w:firstLineChars="50"/>
        <w:rPr>
          <w:rFonts w:ascii="微软雅黑" w:hAnsi="微软雅黑" w:eastAsia="微软雅黑" w:cs="微软雅黑"/>
          <w:color w:val="000000"/>
          <w:szCs w:val="27"/>
        </w:rPr>
      </w:pPr>
      <w:r>
        <w:rPr>
          <w:rFonts w:hint="eastAsia" w:ascii="微软雅黑" w:hAnsi="微软雅黑" w:eastAsia="微软雅黑" w:cs="微软雅黑"/>
          <w:color w:val="000000"/>
          <w:szCs w:val="27"/>
        </w:rPr>
        <w:t>年     月   日                             年    月    日</w:t>
      </w:r>
    </w:p>
    <w:p>
      <w:pPr>
        <w:pStyle w:val="4"/>
        <w:widowControl/>
        <w:spacing w:beforeAutospacing="0" w:afterAutospacing="0"/>
        <w:rPr>
          <w:rFonts w:hint="eastAsia" w:ascii="微软雅黑" w:hAnsi="微软雅黑" w:eastAsia="微软雅黑" w:cs="微软雅黑"/>
          <w:color w:val="000000"/>
          <w:szCs w:val="27"/>
        </w:rPr>
      </w:pPr>
      <w:bookmarkStart w:id="0" w:name="_GoBack"/>
      <w:bookmarkEnd w:id="0"/>
    </w:p>
    <w:p>
      <w:pPr>
        <w:pStyle w:val="4"/>
        <w:widowControl/>
        <w:spacing w:beforeAutospacing="0" w:afterAutospacing="0"/>
        <w:rPr>
          <w:rFonts w:hint="eastAsia" w:ascii="微软雅黑" w:hAnsi="微软雅黑" w:eastAsia="微软雅黑" w:cs="微软雅黑"/>
          <w:color w:val="000000"/>
          <w:szCs w:val="27"/>
        </w:rPr>
      </w:pPr>
      <w:r>
        <w:rPr>
          <w:rFonts w:hint="eastAsia" w:ascii="微软雅黑" w:hAnsi="微软雅黑" w:eastAsia="微软雅黑" w:cs="微软雅黑"/>
          <w:color w:val="000000"/>
          <w:szCs w:val="27"/>
        </w:rPr>
        <w:t>附件一. 服务费明细</w:t>
      </w:r>
    </w:p>
    <w:tbl>
      <w:tblPr>
        <w:tblStyle w:val="5"/>
        <w:tblW w:w="9743" w:type="dxa"/>
        <w:tblInd w:w="93" w:type="dxa"/>
        <w:shd w:val="clear" w:color="auto" w:fill="auto"/>
        <w:tblLayout w:type="fixed"/>
        <w:tblCellMar>
          <w:top w:w="0" w:type="dxa"/>
          <w:left w:w="108" w:type="dxa"/>
          <w:bottom w:w="0" w:type="dxa"/>
          <w:right w:w="108" w:type="dxa"/>
        </w:tblCellMar>
      </w:tblPr>
      <w:tblGrid>
        <w:gridCol w:w="840"/>
        <w:gridCol w:w="1350"/>
        <w:gridCol w:w="4965"/>
        <w:gridCol w:w="1493"/>
        <w:gridCol w:w="1095"/>
      </w:tblGrid>
      <w:tr>
        <w:tblPrEx>
          <w:shd w:val="clear" w:color="auto" w:fill="auto"/>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69696B"/>
                <w:sz w:val="26"/>
                <w:szCs w:val="26"/>
                <w:u w:val="none"/>
              </w:rPr>
            </w:pPr>
            <w:r>
              <w:rPr>
                <w:rFonts w:hint="eastAsia" w:ascii="宋体" w:hAnsi="宋体" w:eastAsia="宋体" w:cs="宋体"/>
                <w:b/>
                <w:bCs/>
                <w:i w:val="0"/>
                <w:iCs w:val="0"/>
                <w:color w:val="69696B"/>
                <w:kern w:val="0"/>
                <w:sz w:val="26"/>
                <w:szCs w:val="26"/>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产品系列</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服务价格（不含税）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重卡正司机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H3改型司机座椅总成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 xml:space="preserve">H4-A </w:t>
            </w:r>
            <w:r>
              <w:rPr>
                <w:rStyle w:val="9"/>
                <w:lang w:val="en-US" w:eastAsia="zh-CN" w:bidi="ar"/>
              </w:rPr>
              <w:t>( 2. 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w:t>
            </w:r>
            <w:r>
              <w:rPr>
                <w:rStyle w:val="10"/>
                <w:rFonts w:ascii="宋体" w:hAnsi="宋体" w:eastAsia="宋体" w:cs="宋体"/>
                <w:sz w:val="24"/>
                <w:szCs w:val="24"/>
                <w:lang w:val="en-US" w:eastAsia="zh-CN" w:bidi="ar"/>
              </w:rPr>
              <w:t>-</w:t>
            </w:r>
            <w:r>
              <w:rPr>
                <w:rStyle w:val="11"/>
                <w:lang w:val="en-US" w:eastAsia="zh-CN" w:bidi="ar"/>
              </w:rPr>
              <w:t xml:space="preserve">B </w:t>
            </w:r>
            <w:r>
              <w:rPr>
                <w:rStyle w:val="9"/>
                <w:lang w:val="en-US" w:eastAsia="zh-CN" w:bidi="ar"/>
              </w:rPr>
              <w:t>( 2. 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ind w:right="86" w:rightChars="41"/>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 xml:space="preserve">H4-S </w:t>
            </w:r>
            <w:r>
              <w:rPr>
                <w:rStyle w:val="9"/>
                <w:lang w:val="en-US" w:eastAsia="zh-CN" w:bidi="ar"/>
              </w:rPr>
              <w:t>( 2</w:t>
            </w:r>
            <w:r>
              <w:rPr>
                <w:rStyle w:val="12"/>
                <w:lang w:val="en-US" w:eastAsia="zh-CN" w:bidi="ar"/>
              </w:rPr>
              <w:t xml:space="preserve">. </w:t>
            </w:r>
            <w:r>
              <w:rPr>
                <w:rStyle w:val="11"/>
                <w:lang w:val="en-US" w:eastAsia="zh-CN" w:bidi="ar"/>
              </w:rPr>
              <w:t>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5</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H4A面料升级</w:t>
            </w:r>
            <w:r>
              <w:rPr>
                <w:rStyle w:val="13"/>
                <w:rFonts w:eastAsia="宋体"/>
                <w:lang w:val="en-US" w:eastAsia="zh-CN" w:bidi="ar"/>
              </w:rPr>
              <w:t xml:space="preserve"> </w:t>
            </w:r>
            <w:r>
              <w:rPr>
                <w:rStyle w:val="11"/>
                <w:lang w:val="en-US" w:eastAsia="zh-CN" w:bidi="ar"/>
              </w:rPr>
              <w:t>司机座椅总成（新面料）</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重卡副司机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H3改型副司机座椅总成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H4-A副驾驶员座椅总成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H4-B副驾驶员座椅总成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H4-S副驾驶员座椅总成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H4A升级副</w:t>
            </w:r>
            <w:r>
              <w:rPr>
                <w:rStyle w:val="13"/>
                <w:rFonts w:eastAsia="宋体"/>
                <w:lang w:val="en-US" w:eastAsia="zh-CN" w:bidi="ar"/>
              </w:rPr>
              <w:t xml:space="preserve"> </w:t>
            </w:r>
            <w:r>
              <w:rPr>
                <w:rStyle w:val="11"/>
                <w:lang w:val="en-US" w:eastAsia="zh-CN" w:bidi="ar"/>
              </w:rPr>
              <w:t>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B40座椅</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14</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B40V后排座椅总成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吊卧铺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上卧铺总成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下卧铺总成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随车小件</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座</w:t>
            </w:r>
            <w:r>
              <w:rPr>
                <w:rStyle w:val="11"/>
                <w:lang w:val="en-US" w:eastAsia="zh-CN" w:bidi="ar"/>
              </w:rPr>
              <w:t>椅</w:t>
            </w:r>
            <w:r>
              <w:rPr>
                <w:rStyle w:val="14"/>
                <w:lang w:val="en-US" w:eastAsia="zh-CN" w:bidi="ar"/>
              </w:rPr>
              <w:t>附件</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B40、B80后视镜</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欧曼后视镜</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bl>
    <w:p>
      <w:pPr>
        <w:pStyle w:val="4"/>
        <w:widowControl/>
        <w:spacing w:beforeAutospacing="0" w:afterAutospacing="0"/>
        <w:rPr>
          <w:rFonts w:hint="eastAsia" w:ascii="微软雅黑" w:hAnsi="微软雅黑" w:eastAsia="微软雅黑" w:cs="微软雅黑"/>
          <w:color w:val="000000"/>
          <w:szCs w:val="27"/>
        </w:rPr>
      </w:pPr>
    </w:p>
    <w:sectPr>
      <w:pgSz w:w="11906" w:h="16838"/>
      <w:pgMar w:top="600" w:right="1286" w:bottom="111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A5C47"/>
    <w:rsid w:val="0027099B"/>
    <w:rsid w:val="0096696B"/>
    <w:rsid w:val="00FA5C47"/>
    <w:rsid w:val="25AB7BEA"/>
    <w:rsid w:val="25EE0F4B"/>
    <w:rsid w:val="3CF175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character" w:customStyle="1" w:styleId="9">
    <w:name w:val="font61"/>
    <w:basedOn w:val="6"/>
    <w:qFormat/>
    <w:uiPriority w:val="0"/>
    <w:rPr>
      <w:rFonts w:hint="eastAsia" w:ascii="宋体" w:hAnsi="宋体" w:eastAsia="宋体" w:cs="宋体"/>
      <w:color w:val="69696B"/>
      <w:sz w:val="22"/>
      <w:szCs w:val="22"/>
      <w:u w:val="none"/>
    </w:rPr>
  </w:style>
  <w:style w:type="character" w:customStyle="1" w:styleId="10">
    <w:name w:val="font112"/>
    <w:basedOn w:val="6"/>
    <w:qFormat/>
    <w:uiPriority w:val="0"/>
    <w:rPr>
      <w:rFonts w:hint="eastAsia" w:ascii="宋体" w:hAnsi="宋体" w:eastAsia="宋体" w:cs="宋体"/>
      <w:color w:val="8E8C90"/>
      <w:sz w:val="22"/>
      <w:szCs w:val="22"/>
      <w:u w:val="none"/>
    </w:rPr>
  </w:style>
  <w:style w:type="character" w:customStyle="1" w:styleId="11">
    <w:name w:val="font81"/>
    <w:basedOn w:val="6"/>
    <w:qFormat/>
    <w:uiPriority w:val="0"/>
    <w:rPr>
      <w:rFonts w:hint="eastAsia" w:ascii="宋体" w:hAnsi="宋体" w:eastAsia="宋体" w:cs="宋体"/>
      <w:color w:val="525456"/>
      <w:sz w:val="22"/>
      <w:szCs w:val="22"/>
      <w:u w:val="none"/>
    </w:rPr>
  </w:style>
  <w:style w:type="character" w:customStyle="1" w:styleId="12">
    <w:name w:val="font121"/>
    <w:basedOn w:val="6"/>
    <w:qFormat/>
    <w:uiPriority w:val="0"/>
    <w:rPr>
      <w:rFonts w:hint="eastAsia" w:ascii="宋体" w:hAnsi="宋体" w:eastAsia="宋体" w:cs="宋体"/>
      <w:color w:val="1C1D1D"/>
      <w:sz w:val="22"/>
      <w:szCs w:val="22"/>
      <w:u w:val="none"/>
    </w:rPr>
  </w:style>
  <w:style w:type="character" w:customStyle="1" w:styleId="13">
    <w:name w:val="font131"/>
    <w:basedOn w:val="6"/>
    <w:qFormat/>
    <w:uiPriority w:val="0"/>
    <w:rPr>
      <w:rFonts w:hint="default" w:ascii="Arial" w:hAnsi="Arial" w:cs="Arial"/>
      <w:color w:val="525456"/>
      <w:sz w:val="22"/>
      <w:szCs w:val="22"/>
      <w:u w:val="none"/>
    </w:rPr>
  </w:style>
  <w:style w:type="character" w:customStyle="1" w:styleId="14">
    <w:name w:val="font71"/>
    <w:basedOn w:val="6"/>
    <w:qFormat/>
    <w:uiPriority w:val="0"/>
    <w:rPr>
      <w:rFonts w:hint="eastAsia" w:ascii="宋体" w:hAnsi="宋体" w:eastAsia="宋体" w:cs="宋体"/>
      <w:color w:val="383A3B"/>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AD915-576B-416C-9872-1EFB40E1353D}">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5</Pages>
  <Words>404</Words>
  <Characters>2308</Characters>
  <Lines>19</Lines>
  <Paragraphs>5</Paragraphs>
  <TotalTime>1</TotalTime>
  <ScaleCrop>false</ScaleCrop>
  <LinksUpToDate>false</LinksUpToDate>
  <CharactersWithSpaces>2707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2021-07-06T03:57:00Z</dcterms:created>
  <dc:creator>Administrator</dc:creator>
  <cp:lastModifiedBy>张文昌</cp:lastModifiedBy>
  <dcterms:modified xsi:type="dcterms:W3CDTF">2021-07-06T09:25:09Z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A546521E09924BA2BB4DB2FA2A77EFE8</vt:lpwstr>
  </property>
</Properties>
</file>