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长春工厂情况说明</w:t>
      </w:r>
    </w:p>
    <w:p>
      <w:pPr>
        <w:jc w:val="center"/>
        <w:rPr>
          <w:rFonts w:hint="eastAsia"/>
          <w:lang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长春工厂所在地为长春市经开区国资委所属工业园区，因</w:t>
      </w:r>
      <w:r>
        <w:rPr>
          <w:rFonts w:hint="eastAsia"/>
          <w:sz w:val="32"/>
          <w:szCs w:val="32"/>
          <w:lang w:eastAsia="zh-CN"/>
        </w:rPr>
        <w:t>经开区国资委严禁工业园区内企业设立食堂及员工宿舍，并已与企业签订相关协议，故长春工厂无员工食堂及厂内员工宿舍。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特此说明！</w:t>
      </w: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长春光华荣昌汽车部件有限公司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2021年7月8日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zzz</cp:lastModifiedBy>
  <cp:lastPrinted>2021-07-09T02:58:33Z</cp:lastPrinted>
  <dcterms:modified xsi:type="dcterms:W3CDTF">2021-07-09T03:10:27Z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CD778EB2F4274B309741DA1B5B74A7DC</vt:lpwstr>
  </property>
</Properties>
</file>