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tabs>
          <w:tab w:val="left" w:pos="2202"/>
          <w:tab w:val="left" w:pos="8022"/>
        </w:tabs>
        <w:ind w:left="-102" w:right="-102"/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ab/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ab/>
      </w: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总成台架试验寿命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19" name="图片 19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21" name="图片 21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图片 21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7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 w:cs="Times New Roman"/>
                  </w:rPr>
                  <w:t>月7日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RC026807005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7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总成台架试验寿命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7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7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6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6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134"/>
        <w:gridCol w:w="2605"/>
        <w:gridCol w:w="1134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hint="eastAsia" w:cs="Times New Roman"/>
                <w:kern w:val="2"/>
                <w:sz w:val="21"/>
                <w:szCs w:val="18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ind w:left="210" w:hanging="210" w:hangingChars="100"/>
              <w:jc w:val="center"/>
              <w:rPr>
                <w:rFonts w:cs="宋体" w:asciiTheme="minorEastAsia" w:hAnsiTheme="minorEastAsia"/>
                <w:color w:val="000000" w:themeColor="text1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18"/>
              </w:rPr>
              <w:t>机械式弹簧疲劳试验机（带环境）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cs="宋体" w:asciiTheme="minorEastAsia" w:hAnsiTheme="minorEastAsia"/>
                <w:color w:val="000000" w:themeColor="text1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18"/>
              </w:rPr>
              <w:t>Q-011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210" w:hanging="210" w:hangingChars="100"/>
              <w:jc w:val="center"/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TPJ-15</w:t>
            </w:r>
          </w:p>
        </w:tc>
        <w:tc>
          <w:tcPr>
            <w:tcW w:w="260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105" w:leftChars="-50" w:right="-107" w:rightChars="-51" w:hanging="210" w:hangingChars="100"/>
              <w:jc w:val="center"/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济南试验仪器设备厂</w:t>
            </w:r>
          </w:p>
        </w:tc>
        <w:tc>
          <w:tcPr>
            <w:tcW w:w="1134" w:type="dxa"/>
            <w:vAlign w:val="center"/>
          </w:tcPr>
          <w:p>
            <w:pPr>
              <w:ind w:left="210" w:hanging="210" w:hangingChars="100"/>
              <w:jc w:val="center"/>
              <w:rPr>
                <w:rFonts w:cs="宋体" w:asciiTheme="minorEastAsia" w:hAnsiTheme="minorEastAsia"/>
                <w:color w:val="000000" w:themeColor="text1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18"/>
              </w:rPr>
              <w:t>5‰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210" w:hanging="210" w:hangingChars="100"/>
              <w:jc w:val="center"/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2021年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8日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调节气囊高度11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mm，气压0.7±0.01MPa，以±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5mm的振幅、2.5Hz的频率进行往返振动，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300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万次。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jc w:val="left"/>
              <w:rPr>
                <w:rFonts w:ascii="Calibri" w:hAnsi="Calibri" w:eastAsia="宋体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1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囊皮无起包、龟裂或帘布线外漏。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997" w:type="dxa"/>
            <w:vAlign w:val="center"/>
          </w:tcPr>
          <w:tbl>
            <w:tblPr>
              <w:tblStyle w:val="7"/>
              <w:tblW w:w="855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27"/>
              <w:gridCol w:w="603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试验状态</w:t>
                  </w:r>
                </w:p>
              </w:tc>
              <w:tc>
                <w:tcPr>
                  <w:tcW w:w="603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3" w:hRule="atLeast"/>
              </w:trPr>
              <w:tc>
                <w:tcPr>
                  <w:tcW w:w="25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szCs w:val="18"/>
                    </w:rPr>
                    <w:t>气囊高度11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szCs w:val="18"/>
                      <w:lang w:val="en-US" w:eastAsia="zh-CN"/>
                    </w:rPr>
                    <w:t>0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szCs w:val="18"/>
                    </w:rPr>
                    <w:t>mm。±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szCs w:val="18"/>
                    </w:rPr>
                    <w:t>5mm的振幅</w:t>
                  </w:r>
                </w:p>
              </w:tc>
              <w:tc>
                <w:tcPr>
                  <w:tcW w:w="603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不合格，上下运动导致囊皮老化，出现漏气，2441001次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jc w:val="center"/>
              <w:rPr>
                <w:rFonts w:ascii="Calibri" w:hAnsi="Calibri" w:eastAsia="宋体"/>
                <w:b/>
              </w:rPr>
            </w:pPr>
            <w:r>
              <w:drawing>
                <wp:inline distT="0" distB="0" distL="114300" distR="114300">
                  <wp:extent cx="2790825" cy="2124075"/>
                  <wp:effectExtent l="0" t="0" r="9525" b="952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Calibri" w:hAnsi="Calibri" w:eastAsia="宋体"/>
                <w:b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left"/>
              <w:rPr>
                <w:rFonts w:ascii="Calibri" w:hAnsi="Calibri" w:eastAsia="宋体"/>
                <w:b/>
              </w:rPr>
            </w:pPr>
            <w:r>
              <w:rPr>
                <w:rFonts w:hint="eastAsia" w:ascii="Calibri" w:hAnsi="Calibri" w:eastAsia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left"/>
              <w:rPr>
                <w:rFonts w:ascii="Calibri" w:hAnsi="Calibri" w:eastAsia="宋体"/>
                <w:b/>
              </w:rPr>
            </w:pPr>
            <w:r>
              <w:rPr>
                <w:rFonts w:eastAsia="宋体" w:cs="Arial"/>
              </w:rPr>
              <w:t xml:space="preserve">备注: </w:t>
            </w:r>
            <w:r>
              <w:rPr>
                <w:rFonts w:hint="eastAsia" w:eastAsia="宋体" w:cs="Arial"/>
              </w:rPr>
              <w:t xml:space="preserve">  </w:t>
            </w:r>
            <w:r>
              <w:rPr>
                <w:rFonts w:eastAsia="宋体" w:cs="Arial"/>
              </w:rPr>
              <w:t>合格: 达到要求;</w:t>
            </w:r>
            <w:r>
              <w:rPr>
                <w:rFonts w:hint="eastAsia" w:eastAsia="宋体" w:cs="Arial"/>
              </w:rPr>
              <w:t xml:space="preserve">  </w:t>
            </w:r>
            <w:r>
              <w:rPr>
                <w:rFonts w:eastAsia="宋体" w:cs="Arial"/>
              </w:rPr>
              <w:t>不合格: 未达到要求;</w:t>
            </w:r>
            <w:r>
              <w:rPr>
                <w:rFonts w:hint="eastAsia" w:eastAsia="宋体" w:cs="Arial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4"/>
        <w:gridCol w:w="4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790825" cy="2105025"/>
                  <wp:effectExtent l="0" t="0" r="9525" b="952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790825" cy="210502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90825" cy="2105025"/>
                  <wp:effectExtent l="0" t="0" r="9525" b="952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tcBorders>
              <w:righ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790825" cy="2105025"/>
                  <wp:effectExtent l="0" t="0" r="9525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790825" cy="2105025"/>
                  <wp:effectExtent l="0" t="0" r="9525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tcBorders>
              <w:righ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cs="Arial" w:eastAsiaTheme="minorEastAsia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H3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  <w:lang w:val="en-US" w:eastAsia="zh-CN"/>
      </w:rPr>
      <w:t>10324</w:t>
    </w:r>
    <w:r>
      <w:rPr>
        <w:rFonts w:asciiTheme="minorEastAsia" w:hAnsiTheme="minorEastAsia"/>
        <w:sz w:val="21"/>
        <w:szCs w:val="21"/>
      </w:rPr>
      <w:t>SQS</w:t>
    </w:r>
    <w:r>
      <w:rPr>
        <w:rFonts w:hint="eastAsia" w:asciiTheme="minorEastAsia" w:hAnsiTheme="minorEastAsia"/>
        <w:sz w:val="21"/>
        <w:szCs w:val="21"/>
      </w:rPr>
      <w:t>0</w:t>
    </w:r>
    <w:r>
      <w:rPr>
        <w:rFonts w:hint="eastAsia" w:asciiTheme="minorEastAsia" w:hAnsiTheme="minorEastAsia"/>
        <w:sz w:val="21"/>
        <w:szCs w:val="21"/>
        <w:lang w:val="en-US" w:eastAsia="zh-CN"/>
      </w:rPr>
      <w:t>54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  <w:lang w:val="en-US" w:eastAsia="zh-CN"/>
      </w:rPr>
      <w:t>186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E49A0"/>
    <w:multiLevelType w:val="singleLevel"/>
    <w:tmpl w:val="B2FE49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333AC"/>
    <w:rsid w:val="0003424D"/>
    <w:rsid w:val="00044313"/>
    <w:rsid w:val="00056DED"/>
    <w:rsid w:val="00063457"/>
    <w:rsid w:val="000654DC"/>
    <w:rsid w:val="000671A8"/>
    <w:rsid w:val="000809C1"/>
    <w:rsid w:val="000818F5"/>
    <w:rsid w:val="00092209"/>
    <w:rsid w:val="000A6A95"/>
    <w:rsid w:val="000D4BAB"/>
    <w:rsid w:val="000F32D8"/>
    <w:rsid w:val="000F4E30"/>
    <w:rsid w:val="00104040"/>
    <w:rsid w:val="001546CE"/>
    <w:rsid w:val="001653D7"/>
    <w:rsid w:val="00174EBE"/>
    <w:rsid w:val="001800A1"/>
    <w:rsid w:val="001A2EB5"/>
    <w:rsid w:val="001A7C5B"/>
    <w:rsid w:val="001D290B"/>
    <w:rsid w:val="001E536E"/>
    <w:rsid w:val="001F4961"/>
    <w:rsid w:val="001F5FE1"/>
    <w:rsid w:val="0021464A"/>
    <w:rsid w:val="00220E86"/>
    <w:rsid w:val="0022340B"/>
    <w:rsid w:val="00241DA8"/>
    <w:rsid w:val="0025138E"/>
    <w:rsid w:val="002633D0"/>
    <w:rsid w:val="002834C7"/>
    <w:rsid w:val="002907E5"/>
    <w:rsid w:val="00293536"/>
    <w:rsid w:val="002A6DBB"/>
    <w:rsid w:val="002C2508"/>
    <w:rsid w:val="002C5BCE"/>
    <w:rsid w:val="002E6BE6"/>
    <w:rsid w:val="00333764"/>
    <w:rsid w:val="00337C16"/>
    <w:rsid w:val="003606A0"/>
    <w:rsid w:val="003770AA"/>
    <w:rsid w:val="003A58D7"/>
    <w:rsid w:val="003C35B2"/>
    <w:rsid w:val="003C7832"/>
    <w:rsid w:val="003E62EB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84282"/>
    <w:rsid w:val="005B7A67"/>
    <w:rsid w:val="005D7F78"/>
    <w:rsid w:val="005E19F1"/>
    <w:rsid w:val="005E769F"/>
    <w:rsid w:val="005F30F4"/>
    <w:rsid w:val="005F5649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0038"/>
    <w:rsid w:val="006540A3"/>
    <w:rsid w:val="00664E07"/>
    <w:rsid w:val="0067486B"/>
    <w:rsid w:val="0067527B"/>
    <w:rsid w:val="006910AD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56A8D"/>
    <w:rsid w:val="0088361A"/>
    <w:rsid w:val="008878EA"/>
    <w:rsid w:val="00887A94"/>
    <w:rsid w:val="008A6729"/>
    <w:rsid w:val="008B6DDC"/>
    <w:rsid w:val="008E319E"/>
    <w:rsid w:val="008E5370"/>
    <w:rsid w:val="008E5D25"/>
    <w:rsid w:val="008E7AE1"/>
    <w:rsid w:val="0090062A"/>
    <w:rsid w:val="0092356A"/>
    <w:rsid w:val="009245FF"/>
    <w:rsid w:val="00933E51"/>
    <w:rsid w:val="00951CAD"/>
    <w:rsid w:val="00963F28"/>
    <w:rsid w:val="00996AA4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6292C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B0C8F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A43C5"/>
    <w:rsid w:val="00CD1B7F"/>
    <w:rsid w:val="00CE6F7F"/>
    <w:rsid w:val="00CF153C"/>
    <w:rsid w:val="00D07BEF"/>
    <w:rsid w:val="00D12152"/>
    <w:rsid w:val="00D12A6A"/>
    <w:rsid w:val="00D23FDF"/>
    <w:rsid w:val="00D34B78"/>
    <w:rsid w:val="00D37CD8"/>
    <w:rsid w:val="00D47DCA"/>
    <w:rsid w:val="00D513FC"/>
    <w:rsid w:val="00D75146"/>
    <w:rsid w:val="00D81D0A"/>
    <w:rsid w:val="00DA4578"/>
    <w:rsid w:val="00DC2ADF"/>
    <w:rsid w:val="00DD08C3"/>
    <w:rsid w:val="00DD20C1"/>
    <w:rsid w:val="00DE04F0"/>
    <w:rsid w:val="00E055FD"/>
    <w:rsid w:val="00E1391B"/>
    <w:rsid w:val="00E13F72"/>
    <w:rsid w:val="00E143B5"/>
    <w:rsid w:val="00E2221E"/>
    <w:rsid w:val="00E541B9"/>
    <w:rsid w:val="00E5699E"/>
    <w:rsid w:val="00E70A76"/>
    <w:rsid w:val="00EA6BD2"/>
    <w:rsid w:val="00EB6AB0"/>
    <w:rsid w:val="00EC613A"/>
    <w:rsid w:val="00ED7545"/>
    <w:rsid w:val="00EF6D6B"/>
    <w:rsid w:val="00EF7B44"/>
    <w:rsid w:val="00F0430A"/>
    <w:rsid w:val="00F11E47"/>
    <w:rsid w:val="00F125AB"/>
    <w:rsid w:val="00F240ED"/>
    <w:rsid w:val="00F37EF0"/>
    <w:rsid w:val="00F43F7B"/>
    <w:rsid w:val="00F47AFD"/>
    <w:rsid w:val="00FC2684"/>
    <w:rsid w:val="00FC42BF"/>
    <w:rsid w:val="00FD7CC6"/>
    <w:rsid w:val="00FE3391"/>
    <w:rsid w:val="00FF1428"/>
    <w:rsid w:val="00FF1C71"/>
    <w:rsid w:val="08E530AF"/>
    <w:rsid w:val="162800B3"/>
    <w:rsid w:val="166E1CAA"/>
    <w:rsid w:val="1989467C"/>
    <w:rsid w:val="1AAC050C"/>
    <w:rsid w:val="1D6927E0"/>
    <w:rsid w:val="2F486B57"/>
    <w:rsid w:val="32E079CD"/>
    <w:rsid w:val="39A74B3B"/>
    <w:rsid w:val="3EB10F6D"/>
    <w:rsid w:val="41C82302"/>
    <w:rsid w:val="43725312"/>
    <w:rsid w:val="5C447C2B"/>
    <w:rsid w:val="62200321"/>
    <w:rsid w:val="68377D63"/>
    <w:rsid w:val="6ADD65F5"/>
    <w:rsid w:val="6B892CB1"/>
    <w:rsid w:val="78573C8A"/>
    <w:rsid w:val="785A7C72"/>
    <w:rsid w:val="7F6F53FD"/>
    <w:rsid w:val="7FEC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B41B50-ACB5-488E-BBDE-3620F773F8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209</Words>
  <Characters>1194</Characters>
  <Lines>9</Lines>
  <Paragraphs>2</Paragraphs>
  <TotalTime>6</TotalTime>
  <ScaleCrop>false</ScaleCrop>
  <LinksUpToDate>false</LinksUpToDate>
  <CharactersWithSpaces>1401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2021-07-26T02:28:48Z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CF5F6CAE898348098C58FA037FBF2D68</vt:lpwstr>
  </property>
</Properties>
</file>