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 w:hint="eastAsia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783A33" w:rsidRPr="00783A33">
        <w:rPr>
          <w:rFonts w:ascii="仿宋" w:eastAsia="仿宋" w:hAnsi="仿宋"/>
          <w:sz w:val="24"/>
        </w:rPr>
        <w:t>20210</w:t>
      </w:r>
      <w:r w:rsidR="00B0027D">
        <w:rPr>
          <w:rFonts w:ascii="仿宋" w:eastAsia="仿宋" w:hAnsi="仿宋"/>
          <w:sz w:val="24"/>
        </w:rPr>
        <w:t>206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0027D">
        <w:rPr>
          <w:rFonts w:ascii="仿宋" w:eastAsia="仿宋" w:hAnsi="仿宋" w:hint="eastAsia"/>
          <w:b/>
          <w:sz w:val="24"/>
          <w:u w:val="single"/>
        </w:rPr>
        <w:t>河北科力汽车装备股份</w:t>
      </w:r>
      <w:r w:rsidR="001018C3" w:rsidRPr="001018C3">
        <w:rPr>
          <w:rFonts w:ascii="仿宋" w:eastAsia="仿宋" w:hAnsi="仿宋" w:hint="eastAsia"/>
          <w:b/>
          <w:sz w:val="24"/>
          <w:u w:val="single"/>
        </w:rPr>
        <w:t>有限公司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9157" w:type="dxa"/>
        <w:jc w:val="center"/>
        <w:tblLook w:val="04A0" w:firstRow="1" w:lastRow="0" w:firstColumn="1" w:lastColumn="0" w:noHBand="0" w:noVBand="1"/>
      </w:tblPr>
      <w:tblGrid>
        <w:gridCol w:w="708"/>
        <w:gridCol w:w="2728"/>
        <w:gridCol w:w="851"/>
        <w:gridCol w:w="851"/>
        <w:gridCol w:w="708"/>
        <w:gridCol w:w="1276"/>
        <w:gridCol w:w="1276"/>
        <w:gridCol w:w="759"/>
      </w:tblGrid>
      <w:tr w:rsidR="00B0027D" w:rsidRPr="003109A2" w:rsidTr="00B0027D">
        <w:trPr>
          <w:trHeight w:hRule="exact" w:val="397"/>
          <w:jc w:val="center"/>
        </w:trPr>
        <w:tc>
          <w:tcPr>
            <w:tcW w:w="708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28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</w:p>
        </w:tc>
        <w:tc>
          <w:tcPr>
            <w:tcW w:w="851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851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9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B0027D" w:rsidRPr="003109A2" w:rsidTr="00B0027D">
        <w:trPr>
          <w:trHeight w:hRule="exact" w:val="397"/>
          <w:jc w:val="center"/>
        </w:trPr>
        <w:tc>
          <w:tcPr>
            <w:tcW w:w="708" w:type="dxa"/>
            <w:vAlign w:val="center"/>
          </w:tcPr>
          <w:p w:rsidR="00B0027D" w:rsidRPr="001A657F" w:rsidRDefault="00B0027D" w:rsidP="00B0027D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728" w:type="dxa"/>
            <w:vAlign w:val="center"/>
          </w:tcPr>
          <w:p w:rsidR="00B0027D" w:rsidRDefault="00B0027D" w:rsidP="00B0027D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B</w:t>
            </w:r>
            <w:r>
              <w:rPr>
                <w:rFonts w:ascii="等线" w:eastAsia="等线" w:hAnsi="等线"/>
                <w:sz w:val="22"/>
                <w:szCs w:val="22"/>
              </w:rPr>
              <w:t>PC0010083</w:t>
            </w:r>
          </w:p>
        </w:tc>
        <w:tc>
          <w:tcPr>
            <w:tcW w:w="851" w:type="dxa"/>
            <w:vAlign w:val="center"/>
          </w:tcPr>
          <w:p w:rsidR="00B0027D" w:rsidRDefault="00B0027D" w:rsidP="00B0027D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阀杆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D" w:rsidRDefault="00B0027D" w:rsidP="00B0027D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件</w:t>
            </w:r>
          </w:p>
        </w:tc>
        <w:tc>
          <w:tcPr>
            <w:tcW w:w="708" w:type="dxa"/>
          </w:tcPr>
          <w:p w:rsidR="00B0027D" w:rsidRDefault="00B0027D" w:rsidP="00B002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1276" w:type="dxa"/>
            <w:vAlign w:val="center"/>
          </w:tcPr>
          <w:p w:rsidR="00B0027D" w:rsidRPr="003F2242" w:rsidRDefault="00B0027D" w:rsidP="00B0027D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4.5765</w:t>
            </w:r>
          </w:p>
        </w:tc>
        <w:tc>
          <w:tcPr>
            <w:tcW w:w="1276" w:type="dxa"/>
            <w:vAlign w:val="center"/>
          </w:tcPr>
          <w:p w:rsidR="00B0027D" w:rsidRPr="003F2242" w:rsidRDefault="00B0027D" w:rsidP="00B0027D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1830.6</w:t>
            </w:r>
          </w:p>
        </w:tc>
        <w:tc>
          <w:tcPr>
            <w:tcW w:w="759" w:type="dxa"/>
            <w:vAlign w:val="center"/>
          </w:tcPr>
          <w:p w:rsidR="00B0027D" w:rsidRPr="0040254B" w:rsidRDefault="00B0027D" w:rsidP="00B0027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027D" w:rsidRPr="003109A2" w:rsidTr="000637EC">
        <w:trPr>
          <w:trHeight w:hRule="exact" w:val="397"/>
          <w:jc w:val="center"/>
        </w:trPr>
        <w:tc>
          <w:tcPr>
            <w:tcW w:w="9157" w:type="dxa"/>
            <w:gridSpan w:val="8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1830.6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大写：壹仟捌佰叁拾元陆角整               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018C3">
        <w:rPr>
          <w:rFonts w:ascii="仿宋" w:eastAsia="仿宋" w:hAnsi="仿宋" w:cs="宋体" w:hint="eastAsia"/>
          <w:bCs/>
          <w:color w:val="000000"/>
          <w:kern w:val="0"/>
          <w:sz w:val="24"/>
        </w:rPr>
        <w:t>收到发票后一个月内现金或承兑结算。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12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B002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北京光华荣昌，</w:t>
      </w:r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018C3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B0027D" w:rsidRPr="00B0027D">
        <w:rPr>
          <w:rFonts w:ascii="仿宋" w:eastAsia="仿宋" w:hAnsi="仿宋" w:hint="eastAsia"/>
          <w:sz w:val="24"/>
        </w:rPr>
        <w:t>河北科力汽车装备股份有限公司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AF" w:rsidRDefault="008D5BAF" w:rsidP="006B1554">
      <w:r>
        <w:separator/>
      </w:r>
    </w:p>
  </w:endnote>
  <w:endnote w:type="continuationSeparator" w:id="0">
    <w:p w:rsidR="008D5BAF" w:rsidRDefault="008D5BA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AF" w:rsidRDefault="008D5BAF" w:rsidP="006B1554">
      <w:r>
        <w:separator/>
      </w:r>
    </w:p>
  </w:footnote>
  <w:footnote w:type="continuationSeparator" w:id="0">
    <w:p w:rsidR="008D5BAF" w:rsidRDefault="008D5BA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0F5F2D"/>
    <w:rsid w:val="001018C3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B1C1B"/>
    <w:rsid w:val="002C24D1"/>
    <w:rsid w:val="002C6DB8"/>
    <w:rsid w:val="002E001E"/>
    <w:rsid w:val="002E633B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399C"/>
    <w:rsid w:val="00861732"/>
    <w:rsid w:val="008750CD"/>
    <w:rsid w:val="008A347B"/>
    <w:rsid w:val="008D4B5E"/>
    <w:rsid w:val="008D5BAF"/>
    <w:rsid w:val="008E0822"/>
    <w:rsid w:val="00912DDD"/>
    <w:rsid w:val="00926C8C"/>
    <w:rsid w:val="0094162A"/>
    <w:rsid w:val="00955B94"/>
    <w:rsid w:val="00980616"/>
    <w:rsid w:val="009F09D1"/>
    <w:rsid w:val="00A12FA9"/>
    <w:rsid w:val="00A6236D"/>
    <w:rsid w:val="00AB2D8D"/>
    <w:rsid w:val="00AC625C"/>
    <w:rsid w:val="00AD2C92"/>
    <w:rsid w:val="00B0027D"/>
    <w:rsid w:val="00B33E29"/>
    <w:rsid w:val="00B360FF"/>
    <w:rsid w:val="00B4140B"/>
    <w:rsid w:val="00BB07B2"/>
    <w:rsid w:val="00BD2574"/>
    <w:rsid w:val="00BD6ECF"/>
    <w:rsid w:val="00BF2006"/>
    <w:rsid w:val="00C03152"/>
    <w:rsid w:val="00C309D8"/>
    <w:rsid w:val="00C32723"/>
    <w:rsid w:val="00C849EF"/>
    <w:rsid w:val="00C93E16"/>
    <w:rsid w:val="00CC2D4D"/>
    <w:rsid w:val="00CD78D8"/>
    <w:rsid w:val="00CE2D73"/>
    <w:rsid w:val="00D55F77"/>
    <w:rsid w:val="00D672FC"/>
    <w:rsid w:val="00D773EB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F2C08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135</cp:revision>
  <cp:lastPrinted>2021-05-13T08:42:00Z</cp:lastPrinted>
  <dcterms:created xsi:type="dcterms:W3CDTF">2018-09-03T02:40:00Z</dcterms:created>
  <dcterms:modified xsi:type="dcterms:W3CDTF">2021-07-23T02:55:00Z</dcterms:modified>
</cp:coreProperties>
</file>