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534" w:firstLineChars="800"/>
        <w:jc w:val="both"/>
        <w:rPr>
          <w:rFonts w:ascii="宋体" w:hAnsi="宋体"/>
          <w:b/>
          <w:sz w:val="44"/>
        </w:rPr>
      </w:pPr>
      <w:r>
        <w:rPr>
          <w:rFonts w:hint="eastAsia" w:ascii="宋体" w:hAnsi="宋体"/>
          <w:b/>
          <w:sz w:val="44"/>
        </w:rPr>
        <w:t>货物运输合同</w:t>
      </w:r>
    </w:p>
    <w:p>
      <w:pPr>
        <w:spacing w:line="360" w:lineRule="auto"/>
        <w:jc w:val="center"/>
        <w:rPr>
          <w:rFonts w:ascii="宋体" w:hAnsi="宋体"/>
          <w:b/>
          <w:sz w:val="24"/>
        </w:rPr>
      </w:pPr>
    </w:p>
    <w:p>
      <w:pPr>
        <w:spacing w:line="360" w:lineRule="auto"/>
        <w:rPr>
          <w:rFonts w:hint="eastAsia"/>
          <w:b/>
          <w:sz w:val="24"/>
        </w:rPr>
      </w:pPr>
    </w:p>
    <w:p>
      <w:pPr>
        <w:spacing w:line="360" w:lineRule="auto"/>
        <w:rPr>
          <w:b/>
          <w:sz w:val="24"/>
        </w:rPr>
      </w:pPr>
      <w:r>
        <w:rPr>
          <w:rFonts w:hint="eastAsia"/>
          <w:b/>
          <w:sz w:val="24"/>
        </w:rPr>
        <w:t>甲方：</w:t>
      </w:r>
      <w:r>
        <w:rPr>
          <w:rFonts w:hint="eastAsia"/>
          <w:b/>
          <w:sz w:val="24"/>
          <w:lang w:val="en-US" w:eastAsia="zh-CN"/>
        </w:rPr>
        <w:t>成都光华智能汽车部件有限公司</w:t>
      </w:r>
      <w:r>
        <w:rPr>
          <w:rFonts w:hint="default"/>
          <w:b/>
          <w:sz w:val="24"/>
          <w:lang w:val="en-US"/>
        </w:rPr>
        <w:t xml:space="preserve">                            </w:t>
      </w:r>
      <w:r>
        <w:rPr>
          <w:rFonts w:hint="eastAsia"/>
          <w:b/>
          <w:sz w:val="24"/>
        </w:rPr>
        <w:t xml:space="preserve"> </w:t>
      </w:r>
      <w:r>
        <w:rPr>
          <w:rFonts w:hint="eastAsia" w:ascii="宋体" w:hAnsi="宋体"/>
          <w:b/>
          <w:sz w:val="24"/>
        </w:rPr>
        <w:t>合同编号：</w:t>
      </w:r>
    </w:p>
    <w:p>
      <w:pPr>
        <w:spacing w:line="360" w:lineRule="auto"/>
        <w:rPr>
          <w:rFonts w:hint="eastAsia"/>
          <w:b/>
          <w:sz w:val="24"/>
        </w:rPr>
      </w:pPr>
    </w:p>
    <w:p>
      <w:pPr>
        <w:spacing w:line="360" w:lineRule="auto"/>
        <w:rPr>
          <w:b/>
          <w:sz w:val="24"/>
        </w:rPr>
      </w:pPr>
      <w:r>
        <w:rPr>
          <w:rFonts w:hint="eastAsia"/>
          <w:b/>
          <w:sz w:val="24"/>
        </w:rPr>
        <w:t>乙方：</w:t>
      </w:r>
      <w:r>
        <w:rPr>
          <w:rFonts w:hint="eastAsia"/>
          <w:b/>
          <w:sz w:val="24"/>
          <w:lang w:val="en-US" w:eastAsia="zh-CN"/>
        </w:rPr>
        <w:t>四川林昌物流有限公司</w:t>
      </w:r>
      <w:r>
        <w:rPr>
          <w:rFonts w:hint="eastAsia"/>
          <w:b/>
          <w:sz w:val="24"/>
        </w:rPr>
        <w:t xml:space="preserve">                签定地点：成都龙泉</w:t>
      </w:r>
    </w:p>
    <w:p>
      <w:pPr>
        <w:spacing w:line="360" w:lineRule="auto"/>
        <w:ind w:firstLine="554" w:firstLineChars="231"/>
        <w:rPr>
          <w:sz w:val="24"/>
        </w:rPr>
      </w:pPr>
      <w:r>
        <w:rPr>
          <w:rFonts w:hint="eastAsia"/>
          <w:sz w:val="24"/>
        </w:rPr>
        <w:t>甲方委托乙方为甲方的货物承运商，负责承担甲方货物发往指定地点的运输服务。为明确甲乙双方的权利及义务，在平等、自愿的基础上双方协商一致，特签订以下协议。</w:t>
      </w:r>
    </w:p>
    <w:p>
      <w:pPr>
        <w:spacing w:line="360" w:lineRule="auto"/>
        <w:rPr>
          <w:rFonts w:ascii="宋体" w:hAnsi="宋体"/>
          <w:b/>
          <w:bCs/>
          <w:sz w:val="24"/>
        </w:rPr>
      </w:pPr>
      <w:r>
        <w:rPr>
          <w:rFonts w:hint="eastAsia" w:ascii="宋体" w:hAnsi="宋体"/>
          <w:b/>
          <w:bCs/>
          <w:sz w:val="24"/>
        </w:rPr>
        <w:t>一、代理服务项目</w:t>
      </w:r>
    </w:p>
    <w:p>
      <w:pPr>
        <w:spacing w:line="360" w:lineRule="auto"/>
        <w:rPr>
          <w:rFonts w:ascii="宋体" w:hAnsi="宋体"/>
          <w:b/>
          <w:bCs/>
          <w:sz w:val="24"/>
        </w:rPr>
      </w:pPr>
      <w:r>
        <w:rPr>
          <w:rFonts w:hint="eastAsia" w:ascii="宋体" w:hAnsi="宋体"/>
          <w:sz w:val="24"/>
        </w:rPr>
        <w:t>运输内容：汽车零部件</w:t>
      </w:r>
    </w:p>
    <w:p>
      <w:pPr>
        <w:spacing w:line="360" w:lineRule="auto"/>
        <w:rPr>
          <w:rFonts w:ascii="宋体" w:hAnsi="宋体"/>
          <w:sz w:val="24"/>
        </w:rPr>
      </w:pPr>
      <w:r>
        <w:rPr>
          <w:rFonts w:hint="eastAsia" w:ascii="宋体" w:hAnsi="宋体"/>
          <w:sz w:val="24"/>
        </w:rPr>
        <w:t>运输线路</w:t>
      </w:r>
      <w:r>
        <w:rPr>
          <w:rFonts w:hint="eastAsia" w:ascii="宋体" w:hAnsi="宋体"/>
          <w:sz w:val="24"/>
          <w:lang w:eastAsia="zh-CN"/>
        </w:rPr>
        <w:t>、方式</w:t>
      </w:r>
      <w:r>
        <w:rPr>
          <w:rFonts w:hint="eastAsia" w:ascii="宋体" w:hAnsi="宋体"/>
          <w:sz w:val="24"/>
        </w:rPr>
        <w:t>：甲方指定地点</w:t>
      </w:r>
      <w:r>
        <w:rPr>
          <w:rFonts w:hint="eastAsia" w:ascii="宋体" w:hAnsi="宋体"/>
          <w:sz w:val="24"/>
          <w:lang w:eastAsia="zh-CN"/>
        </w:rPr>
        <w:t>、</w:t>
      </w:r>
      <w:r>
        <w:rPr>
          <w:rFonts w:hint="eastAsia" w:ascii="宋体" w:hAnsi="宋体"/>
          <w:sz w:val="24"/>
        </w:rPr>
        <w:t>公路运输</w:t>
      </w:r>
    </w:p>
    <w:p>
      <w:pPr>
        <w:spacing w:line="360" w:lineRule="auto"/>
        <w:rPr>
          <w:rFonts w:hint="eastAsia" w:ascii="宋体" w:hAnsi="宋体"/>
          <w:sz w:val="24"/>
        </w:rPr>
      </w:pPr>
      <w:r>
        <w:rPr>
          <w:rFonts w:hint="eastAsia" w:ascii="宋体" w:hAnsi="宋体"/>
          <w:sz w:val="24"/>
        </w:rPr>
        <w:t>运输车辆：根据甲方货物要求可选择7.6米、飞翼车。</w:t>
      </w:r>
    </w:p>
    <w:p>
      <w:pPr>
        <w:spacing w:line="360" w:lineRule="auto"/>
        <w:rPr>
          <w:rFonts w:hint="default" w:ascii="宋体" w:hAnsi="宋体" w:eastAsia="宋体"/>
          <w:sz w:val="24"/>
          <w:lang w:val="en-US" w:eastAsia="zh-CN"/>
        </w:rPr>
      </w:pPr>
      <w:r>
        <w:rPr>
          <w:rFonts w:hint="eastAsia" w:ascii="宋体" w:hAnsi="宋体"/>
          <w:sz w:val="24"/>
          <w:lang w:val="en-US" w:eastAsia="zh-CN"/>
        </w:rPr>
        <w:t>运输时限：车辆出厂后40分钟内（交付大众），车辆出厂后5分钟内（交付麦格纳），车辆出厂后15分钟内（交付麦格纳）</w:t>
      </w:r>
    </w:p>
    <w:p>
      <w:pPr>
        <w:spacing w:line="360" w:lineRule="auto"/>
        <w:jc w:val="left"/>
        <w:rPr>
          <w:rFonts w:ascii="宋体" w:hAnsi="宋体"/>
          <w:b/>
          <w:bCs/>
          <w:sz w:val="24"/>
        </w:rPr>
      </w:pPr>
      <w:r>
        <w:rPr>
          <w:rFonts w:hint="eastAsia" w:ascii="宋体" w:hAnsi="宋体"/>
          <w:b/>
          <w:bCs/>
          <w:sz w:val="24"/>
        </w:rPr>
        <w:t>二、甲方权利与义务</w:t>
      </w:r>
    </w:p>
    <w:p>
      <w:pPr>
        <w:spacing w:line="360" w:lineRule="auto"/>
        <w:ind w:firstLine="240" w:firstLineChars="100"/>
        <w:jc w:val="left"/>
        <w:rPr>
          <w:rFonts w:ascii="宋体" w:hAnsi="宋体"/>
          <w:sz w:val="24"/>
        </w:rPr>
      </w:pPr>
      <w:r>
        <w:rPr>
          <w:rFonts w:hint="eastAsia" w:ascii="宋体" w:hAnsi="宋体"/>
          <w:bCs/>
          <w:sz w:val="24"/>
        </w:rPr>
        <w:t xml:space="preserve"> 1）</w:t>
      </w:r>
      <w:r>
        <w:rPr>
          <w:rFonts w:hint="eastAsia" w:ascii="宋体" w:hAnsi="宋体"/>
          <w:sz w:val="24"/>
        </w:rPr>
        <w:t>甲方应提前</w:t>
      </w:r>
      <w:r>
        <w:rPr>
          <w:rFonts w:hint="eastAsia" w:ascii="宋体" w:hAnsi="宋体"/>
          <w:color w:val="000000" w:themeColor="text1"/>
          <w:sz w:val="24"/>
        </w:rPr>
        <w:t>12</w:t>
      </w:r>
      <w:r>
        <w:rPr>
          <w:rFonts w:hint="eastAsia" w:ascii="宋体" w:hAnsi="宋体"/>
          <w:sz w:val="24"/>
        </w:rPr>
        <w:t>小时通知乙方用车计划，并告知乙方装运物品、车辆就位时间、发车时间与到达时间，确保装卸作业现场无障碍物，乙方车辆在甲方指定区域内能够正常通行；如乙方不能满足甲方用车需求，甲方有权选择第三方运输公司承担运输服务业务。</w:t>
      </w:r>
    </w:p>
    <w:p>
      <w:pPr>
        <w:spacing w:line="360" w:lineRule="auto"/>
        <w:ind w:firstLine="352" w:firstLineChars="147"/>
        <w:rPr>
          <w:rFonts w:ascii="宋体" w:hAnsi="宋体"/>
          <w:sz w:val="24"/>
        </w:rPr>
      </w:pPr>
      <w:r>
        <w:rPr>
          <w:rFonts w:hint="eastAsia" w:ascii="宋体" w:hAnsi="宋体"/>
          <w:bCs/>
          <w:sz w:val="24"/>
        </w:rPr>
        <w:t>2）</w:t>
      </w:r>
      <w:r>
        <w:rPr>
          <w:rFonts w:hint="eastAsia" w:ascii="宋体" w:hAnsi="宋体"/>
          <w:sz w:val="24"/>
        </w:rPr>
        <w:t>甲方交运的货物应符合国家法律及相关安全规定的要求，货物包装应符合同类货物包装要求，保证包装箱（器具）内货物品种及数量与交运单据所示相符。</w:t>
      </w:r>
    </w:p>
    <w:p>
      <w:pPr>
        <w:spacing w:line="360" w:lineRule="auto"/>
        <w:ind w:firstLine="352" w:firstLineChars="147"/>
        <w:rPr>
          <w:rFonts w:ascii="宋体" w:hAnsi="宋体"/>
          <w:sz w:val="24"/>
        </w:rPr>
      </w:pPr>
      <w:r>
        <w:rPr>
          <w:rFonts w:hint="eastAsia" w:ascii="宋体" w:hAnsi="宋体"/>
          <w:bCs/>
          <w:sz w:val="24"/>
        </w:rPr>
        <w:t>3）</w:t>
      </w:r>
      <w:r>
        <w:rPr>
          <w:rFonts w:hint="eastAsia" w:ascii="宋体" w:hAnsi="宋体"/>
          <w:sz w:val="24"/>
        </w:rPr>
        <w:t>甲方负责产品装卸车作业安全，同时对产品的品种、规格和数量负责</w:t>
      </w:r>
      <w:bookmarkStart w:id="0" w:name="_GoBack"/>
      <w:bookmarkEnd w:id="0"/>
      <w:r>
        <w:rPr>
          <w:rFonts w:hint="eastAsia" w:ascii="宋体" w:hAnsi="宋体"/>
          <w:sz w:val="24"/>
        </w:rPr>
        <w:t>，装车后提供完备的货物清单、条码、送货地点等相关信息，货物配送所需的出门条、交接单据应保证发货的实物与运单相符，签署齐全，单据规范有效。</w:t>
      </w:r>
    </w:p>
    <w:p>
      <w:pPr>
        <w:spacing w:line="360" w:lineRule="auto"/>
        <w:ind w:firstLine="352" w:firstLineChars="147"/>
        <w:rPr>
          <w:rFonts w:ascii="宋体" w:hAnsi="宋体"/>
          <w:sz w:val="24"/>
        </w:rPr>
      </w:pPr>
      <w:r>
        <w:rPr>
          <w:rFonts w:hint="eastAsia" w:ascii="宋体" w:hAnsi="宋体"/>
          <w:bCs/>
          <w:sz w:val="24"/>
        </w:rPr>
        <w:t>4）</w:t>
      </w:r>
      <w:r>
        <w:rPr>
          <w:rFonts w:hint="eastAsia" w:ascii="宋体" w:hAnsi="宋体"/>
          <w:sz w:val="24"/>
        </w:rPr>
        <w:t>甲方有义务</w:t>
      </w:r>
      <w:r>
        <w:rPr>
          <w:rFonts w:hint="eastAsia" w:ascii="宋体" w:hAnsi="宋体"/>
          <w:bCs/>
          <w:sz w:val="24"/>
        </w:rPr>
        <w:t>监督检查运载产品的车辆是否按规定路线行驶，驾驶员是否规范操作，如发现违规、违法现象应及时与</w:t>
      </w:r>
      <w:r>
        <w:rPr>
          <w:rFonts w:hint="eastAsia" w:ascii="宋体" w:hAnsi="宋体"/>
          <w:sz w:val="24"/>
        </w:rPr>
        <w:t>乙方联系，甲方有权制止乙方的违规行为，并要求乙方立即实施纠正和改进措施。</w:t>
      </w:r>
    </w:p>
    <w:p>
      <w:pPr>
        <w:spacing w:line="360" w:lineRule="auto"/>
        <w:ind w:firstLine="352" w:firstLineChars="147"/>
        <w:rPr>
          <w:rFonts w:ascii="宋体" w:hAnsi="宋体"/>
          <w:sz w:val="24"/>
        </w:rPr>
      </w:pPr>
      <w:r>
        <w:rPr>
          <w:rFonts w:hint="eastAsia" w:ascii="宋体" w:hAnsi="宋体"/>
          <w:bCs/>
          <w:sz w:val="24"/>
        </w:rPr>
        <w:t>5）</w:t>
      </w:r>
      <w:r>
        <w:rPr>
          <w:rFonts w:hint="eastAsia" w:ascii="宋体" w:hAnsi="宋体"/>
          <w:sz w:val="24"/>
        </w:rPr>
        <w:t>甲方人员应按照用车计划的约定按时组织车辆装卸货作业，不得无故拖延；因甲方工作人员操作不当造成乙方人员、车辆设备的损伤由甲方负责照价赔偿。</w:t>
      </w:r>
    </w:p>
    <w:p>
      <w:pPr>
        <w:spacing w:line="360" w:lineRule="auto"/>
        <w:ind w:firstLine="352" w:firstLineChars="147"/>
        <w:rPr>
          <w:rFonts w:ascii="宋体" w:hAnsi="宋体"/>
          <w:color w:val="000000"/>
          <w:sz w:val="24"/>
        </w:rPr>
      </w:pPr>
      <w:r>
        <w:rPr>
          <w:rFonts w:hint="eastAsia" w:ascii="宋体" w:hAnsi="宋体"/>
          <w:bCs/>
          <w:sz w:val="24"/>
        </w:rPr>
        <w:t>6）</w:t>
      </w:r>
      <w:r>
        <w:rPr>
          <w:rFonts w:hint="eastAsia" w:ascii="宋体" w:hAnsi="宋体"/>
          <w:sz w:val="24"/>
        </w:rPr>
        <w:t>甲方应承担包装及器具的正常维护和更换，</w:t>
      </w:r>
      <w:r>
        <w:rPr>
          <w:rFonts w:hint="eastAsia" w:ascii="宋体" w:hAnsi="宋体"/>
          <w:color w:val="000000"/>
          <w:sz w:val="24"/>
        </w:rPr>
        <w:t>如非乙方原因造成的包装</w:t>
      </w:r>
      <w:r>
        <w:rPr>
          <w:rFonts w:hint="eastAsia" w:ascii="宋体" w:hAnsi="宋体"/>
          <w:color w:val="000000"/>
          <w:sz w:val="24"/>
          <w:lang w:val="en-US" w:eastAsia="zh-CN"/>
        </w:rPr>
        <w:t>器</w:t>
      </w:r>
      <w:r>
        <w:rPr>
          <w:rFonts w:hint="eastAsia" w:ascii="宋体" w:hAnsi="宋体"/>
          <w:color w:val="000000"/>
          <w:sz w:val="24"/>
        </w:rPr>
        <w:t>具的损坏，由甲方承担维修</w:t>
      </w:r>
      <w:r>
        <w:rPr>
          <w:rFonts w:hint="eastAsia" w:ascii="宋体" w:hAnsi="宋体"/>
          <w:color w:val="000000"/>
          <w:sz w:val="24"/>
          <w:lang w:val="en-US" w:eastAsia="zh-CN"/>
        </w:rPr>
        <w:t>责任</w:t>
      </w:r>
      <w:r>
        <w:rPr>
          <w:rFonts w:hint="eastAsia" w:ascii="宋体" w:hAnsi="宋体"/>
          <w:color w:val="000000"/>
          <w:sz w:val="24"/>
        </w:rPr>
        <w:t>。</w:t>
      </w:r>
    </w:p>
    <w:p>
      <w:pPr>
        <w:spacing w:line="360" w:lineRule="auto"/>
        <w:ind w:firstLine="352" w:firstLineChars="147"/>
        <w:rPr>
          <w:rFonts w:ascii="宋体" w:hAnsi="宋体"/>
          <w:bCs/>
          <w:sz w:val="24"/>
        </w:rPr>
      </w:pPr>
      <w:r>
        <w:rPr>
          <w:rFonts w:hint="eastAsia" w:ascii="宋体" w:hAnsi="宋体"/>
          <w:bCs/>
          <w:sz w:val="24"/>
        </w:rPr>
        <w:t>7）由于甲方的原因造成的延时发货、错发、漏发，使得乙方不能在甲方客户交付货物，造成的损失由甲方负责。</w:t>
      </w:r>
    </w:p>
    <w:p>
      <w:pPr>
        <w:spacing w:line="360" w:lineRule="auto"/>
        <w:ind w:firstLine="360" w:firstLineChars="150"/>
        <w:rPr>
          <w:rFonts w:ascii="宋体" w:hAnsi="宋体"/>
          <w:bCs/>
          <w:sz w:val="24"/>
        </w:rPr>
      </w:pPr>
      <w:r>
        <w:rPr>
          <w:rFonts w:hint="eastAsia" w:ascii="宋体" w:hAnsi="宋体"/>
          <w:bCs/>
          <w:sz w:val="24"/>
        </w:rPr>
        <w:t>8）甲方每月对乙方进行业绩测评，考核内容包括货物安全、运输时效、交接手续和信息传递等方面，发生物流故障扣分时，通报乙方并由乙方按时提交整改报告，考核的结果作为来年物流供方淘汰或配套份额调整的依据，以及新增物流线路预选供方的参考资料。</w:t>
      </w:r>
    </w:p>
    <w:p>
      <w:pPr>
        <w:spacing w:line="360" w:lineRule="auto"/>
        <w:ind w:firstLine="360" w:firstLineChars="150"/>
        <w:rPr>
          <w:rFonts w:ascii="宋体" w:hAnsi="宋体"/>
          <w:bCs/>
          <w:sz w:val="24"/>
        </w:rPr>
      </w:pPr>
      <w:r>
        <w:rPr>
          <w:rFonts w:hint="eastAsia" w:ascii="宋体" w:hAnsi="宋体"/>
          <w:bCs/>
          <w:sz w:val="24"/>
        </w:rPr>
        <w:t>9）甲方</w:t>
      </w:r>
      <w:r>
        <w:rPr>
          <w:rFonts w:hint="eastAsia" w:ascii="宋体" w:hAnsi="宋体"/>
          <w:sz w:val="24"/>
        </w:rPr>
        <w:t>有责任对双方的相关信息、数据及程序相互保密，不能向第三方透露。</w:t>
      </w:r>
    </w:p>
    <w:p>
      <w:pPr>
        <w:spacing w:line="360" w:lineRule="auto"/>
        <w:rPr>
          <w:rFonts w:ascii="宋体" w:hAnsi="宋体"/>
          <w:b/>
          <w:bCs/>
          <w:sz w:val="24"/>
        </w:rPr>
      </w:pPr>
      <w:r>
        <w:rPr>
          <w:rFonts w:hint="eastAsia" w:ascii="宋体" w:hAnsi="宋体"/>
          <w:b/>
          <w:bCs/>
          <w:sz w:val="24"/>
        </w:rPr>
        <w:t>三、 乙方权利与义务</w:t>
      </w:r>
    </w:p>
    <w:p>
      <w:pPr>
        <w:spacing w:line="360" w:lineRule="auto"/>
        <w:ind w:firstLine="360" w:firstLineChars="150"/>
        <w:rPr>
          <w:rFonts w:ascii="宋体" w:hAnsi="宋体"/>
          <w:color w:val="FF0000"/>
          <w:sz w:val="24"/>
        </w:rPr>
      </w:pPr>
      <w:r>
        <w:rPr>
          <w:rFonts w:hint="eastAsia" w:ascii="宋体" w:hAnsi="宋体"/>
          <w:bCs/>
          <w:sz w:val="24"/>
        </w:rPr>
        <w:t>1）乙方必须按照甲方要求调派</w:t>
      </w:r>
      <w:r>
        <w:rPr>
          <w:rFonts w:hint="eastAsia" w:ascii="宋体" w:hAnsi="宋体"/>
          <w:sz w:val="24"/>
        </w:rPr>
        <w:t>车辆并提前10分钟到达指定地点服从甲方调度人员的指派，如不能满足甲方用车需求，应在甲方发出用车计划后的</w:t>
      </w:r>
      <w:r>
        <w:rPr>
          <w:rFonts w:hint="eastAsia" w:ascii="宋体" w:hAnsi="宋体"/>
          <w:sz w:val="24"/>
          <w:lang w:val="en-US" w:eastAsia="zh-CN"/>
        </w:rPr>
        <w:t>15分钟</w:t>
      </w:r>
      <w:r>
        <w:rPr>
          <w:rFonts w:hint="eastAsia" w:ascii="宋体" w:hAnsi="宋体"/>
          <w:sz w:val="24"/>
        </w:rPr>
        <w:t>内反馈。车辆到达现场应服从甲方人员调度，如乙方原因影响甲方正常供货，造成甲方损失均由乙方承担。</w:t>
      </w:r>
    </w:p>
    <w:p>
      <w:pPr>
        <w:spacing w:line="360" w:lineRule="auto"/>
        <w:ind w:firstLine="352" w:firstLineChars="147"/>
        <w:rPr>
          <w:rFonts w:ascii="宋体" w:hAnsi="宋体"/>
          <w:sz w:val="24"/>
        </w:rPr>
      </w:pPr>
      <w:r>
        <w:rPr>
          <w:rFonts w:hint="eastAsia" w:ascii="宋体" w:hAnsi="宋体"/>
          <w:sz w:val="24"/>
        </w:rPr>
        <w:t>2）乙方要确保运营车辆须符合国家相关部门以及甲方客户对车辆管理的规定和要求，达到国家规定的排放标准。乙方车辆在进入甲方/甲方客户厂区后必须严格遵守甲方/甲方客户的各项规章制度（如车辆停放、人员管理），乙方人员在甲方严禁烟火区内禁止吸烟和动火，车辆进入甲方库区后必须熄火，且禁止在库区内进行车辆修理，禁止在装卸地点排放废水、废油和固体废弃物等，每次装车或卸车必须按照甲方或甲方收货方要求填写各类安全告知单据或出入证明。对违反规定的，乙方应按照甲方要求提交整改报告并接受甲方处罚，造成甲方及甲方客户损失的，应承担相应赔偿责任。</w:t>
      </w:r>
    </w:p>
    <w:p>
      <w:pPr>
        <w:spacing w:line="360" w:lineRule="auto"/>
        <w:ind w:firstLine="240" w:firstLineChars="100"/>
        <w:jc w:val="left"/>
        <w:rPr>
          <w:rFonts w:ascii="宋体" w:hAnsi="宋体"/>
          <w:sz w:val="24"/>
        </w:rPr>
      </w:pPr>
      <w:r>
        <w:rPr>
          <w:rFonts w:hint="eastAsia" w:ascii="宋体" w:hAnsi="宋体"/>
          <w:bCs/>
          <w:sz w:val="24"/>
        </w:rPr>
        <w:t>3）乙方应检查货物与装运单据的相符性，并签署承运方信息。发现单据、货物、包装不符合规范应及时向甲方提出，双方共同确认，必要时可以照相取证。乙方应有义务持有交货单据到指定到达地与收货方进行当场清点交接并签署单据回执，</w:t>
      </w:r>
      <w:r>
        <w:rPr>
          <w:rFonts w:hint="eastAsia" w:ascii="宋体" w:hAnsi="宋体"/>
          <w:sz w:val="24"/>
        </w:rPr>
        <w:t>如发现有差错，双方当事人应共同查明情况，分清责任，并在托运单上共同签字确认。</w:t>
      </w:r>
      <w:r>
        <w:rPr>
          <w:rFonts w:hint="eastAsia" w:ascii="宋体" w:hAnsi="宋体"/>
          <w:bCs/>
          <w:sz w:val="24"/>
        </w:rPr>
        <w:t>乙方应返回全部的甲方交接单据回执。如乙方将甲方的交货单据丢失造成甲方的损失由乙方承担相应责任。</w:t>
      </w:r>
      <w:r>
        <w:rPr>
          <w:rFonts w:hint="eastAsia" w:ascii="宋体" w:hAnsi="宋体"/>
          <w:sz w:val="24"/>
        </w:rPr>
        <w:t>若收货过程发生争议，乙方不得与收货方发生口角争执，应立即与甲乙双方负责人联系。</w:t>
      </w:r>
    </w:p>
    <w:p>
      <w:pPr>
        <w:spacing w:line="360" w:lineRule="auto"/>
        <w:ind w:firstLine="240" w:firstLineChars="100"/>
        <w:rPr>
          <w:rFonts w:ascii="宋体" w:hAnsi="宋体"/>
          <w:sz w:val="24"/>
        </w:rPr>
      </w:pPr>
      <w:r>
        <w:rPr>
          <w:rFonts w:hint="eastAsia" w:ascii="宋体" w:hAnsi="宋体"/>
          <w:bCs/>
          <w:sz w:val="24"/>
        </w:rPr>
        <w:t>4）</w:t>
      </w:r>
      <w:r>
        <w:rPr>
          <w:rFonts w:hint="eastAsia" w:ascii="宋体" w:hAnsi="宋体"/>
          <w:sz w:val="24"/>
        </w:rPr>
        <w:t>货物出厂前应遮盖雨布、关闭飞翼以确保货物防止雨淋，拉绳捆绑处应有保护角防止纸箱受损。甲方如发现乙方的承运车辆不符合要求，有权要求乙方更换车辆。</w:t>
      </w:r>
    </w:p>
    <w:p>
      <w:pPr>
        <w:spacing w:line="360" w:lineRule="auto"/>
        <w:ind w:firstLine="240" w:firstLineChars="100"/>
        <w:jc w:val="left"/>
        <w:rPr>
          <w:rFonts w:ascii="宋体" w:hAnsi="宋体"/>
          <w:sz w:val="24"/>
        </w:rPr>
      </w:pPr>
      <w:r>
        <w:rPr>
          <w:rFonts w:hint="eastAsia" w:ascii="宋体" w:hAnsi="宋体"/>
          <w:bCs/>
          <w:sz w:val="24"/>
        </w:rPr>
        <w:t>5）</w:t>
      </w:r>
      <w:r>
        <w:rPr>
          <w:rFonts w:hint="eastAsia" w:ascii="宋体" w:hAnsi="宋体"/>
          <w:sz w:val="24"/>
        </w:rPr>
        <w:t>乙方在装货完毕后,必须及时发车，乙方有义务按照双方确定的时间、地点、安全及时的将货物运输到目的地。若因不可抗力，货物不能按时到达，乙方应在第一时间通报甲方。除不可抗力外延迟到货或未及时通知乙方，货物延迟所造成的损失由乙方承担。</w:t>
      </w:r>
    </w:p>
    <w:p>
      <w:pPr>
        <w:spacing w:line="360" w:lineRule="auto"/>
        <w:ind w:firstLine="352" w:firstLineChars="147"/>
        <w:rPr>
          <w:rFonts w:ascii="宋体" w:hAnsi="宋体"/>
          <w:sz w:val="24"/>
        </w:rPr>
      </w:pPr>
      <w:r>
        <w:rPr>
          <w:rFonts w:hint="eastAsia" w:ascii="宋体" w:hAnsi="宋体"/>
          <w:sz w:val="24"/>
        </w:rPr>
        <w:t>6</w:t>
      </w:r>
      <w:r>
        <w:rPr>
          <w:rFonts w:hint="eastAsia" w:ascii="宋体" w:hAnsi="宋体"/>
          <w:bCs/>
          <w:sz w:val="24"/>
        </w:rPr>
        <w:t>）</w:t>
      </w:r>
      <w:r>
        <w:rPr>
          <w:rFonts w:hint="eastAsia" w:ascii="宋体" w:hAnsi="宋体"/>
          <w:sz w:val="24"/>
        </w:rPr>
        <w:t>乙方应按规定路线行驶，确保车辆装载货物及包装安全，运输过程中因乙方违规造成的货物及包装遭受雨淋、碰撞损坏、被盗、丢失责任由乙方承担，乙方按照甲方货物及包装现行售价赔偿全部损失。乙方有责任把运输过程中发现的问题（如运输线路阻碍、车辆故障、货物及包装损坏等）及时反馈给甲方，并配合甲方采取补救措施，如果由于乙方未及时通报甲方，造成甲方交付延误所造成的损失由乙方承担。乙方应按照甲方要求及时返回回收包装及器具</w:t>
      </w:r>
      <w:r>
        <w:rPr>
          <w:rFonts w:hint="eastAsia" w:ascii="宋体" w:hAnsi="宋体"/>
          <w:bCs/>
          <w:sz w:val="24"/>
        </w:rPr>
        <w:t>。</w:t>
      </w:r>
    </w:p>
    <w:p>
      <w:pPr>
        <w:spacing w:line="360" w:lineRule="auto"/>
        <w:ind w:firstLine="352" w:firstLineChars="147"/>
        <w:rPr>
          <w:rFonts w:ascii="宋体" w:hAnsi="宋体"/>
          <w:sz w:val="24"/>
        </w:rPr>
      </w:pPr>
      <w:r>
        <w:rPr>
          <w:rFonts w:hint="eastAsia" w:ascii="宋体" w:hAnsi="宋体"/>
          <w:bCs/>
          <w:sz w:val="24"/>
        </w:rPr>
        <w:t>7）</w:t>
      </w:r>
      <w:r>
        <w:rPr>
          <w:rFonts w:hint="eastAsia" w:ascii="宋体" w:hAnsi="宋体"/>
          <w:sz w:val="24"/>
        </w:rPr>
        <w:t>乙方有义务</w:t>
      </w:r>
      <w:r>
        <w:rPr>
          <w:rFonts w:hint="eastAsia" w:ascii="宋体" w:hAnsi="宋体"/>
          <w:bCs/>
          <w:sz w:val="24"/>
        </w:rPr>
        <w:t>监督检查运载货物的车辆是否按规定路线和时间行驶，驾驶员是否规范操作，如发现违规、违法现象应及时与甲</w:t>
      </w:r>
      <w:r>
        <w:rPr>
          <w:rFonts w:hint="eastAsia" w:ascii="宋体" w:hAnsi="宋体"/>
          <w:sz w:val="24"/>
        </w:rPr>
        <w:t>方联系。乙方负责对运输途中甲方货物</w:t>
      </w:r>
      <w:r>
        <w:rPr>
          <w:rFonts w:hint="eastAsia" w:ascii="宋体" w:hAnsi="宋体"/>
          <w:sz w:val="24"/>
          <w:lang w:val="en-US" w:eastAsia="zh-CN"/>
        </w:rPr>
        <w:t>和器具</w:t>
      </w:r>
      <w:r>
        <w:rPr>
          <w:rFonts w:hint="eastAsia" w:ascii="宋体" w:hAnsi="宋体"/>
          <w:sz w:val="24"/>
        </w:rPr>
        <w:t>进行安全监护，如因乙方原因造成货物</w:t>
      </w:r>
      <w:r>
        <w:rPr>
          <w:rFonts w:hint="eastAsia" w:ascii="宋体" w:hAnsi="宋体"/>
          <w:sz w:val="24"/>
          <w:lang w:val="en-US" w:eastAsia="zh-CN"/>
        </w:rPr>
        <w:t>和器具</w:t>
      </w:r>
      <w:r>
        <w:rPr>
          <w:rFonts w:hint="eastAsia" w:ascii="宋体" w:hAnsi="宋体"/>
          <w:sz w:val="24"/>
        </w:rPr>
        <w:t>丢失或损坏，甚至延误交付影响甲方客户正常生产时，由乙方承担相应责任。</w:t>
      </w:r>
    </w:p>
    <w:p>
      <w:pPr>
        <w:spacing w:line="360" w:lineRule="auto"/>
        <w:ind w:firstLine="360" w:firstLineChars="150"/>
        <w:jc w:val="left"/>
        <w:rPr>
          <w:rFonts w:hint="eastAsia" w:ascii="宋体" w:hAnsi="宋体"/>
          <w:sz w:val="24"/>
        </w:rPr>
      </w:pPr>
      <w:r>
        <w:rPr>
          <w:rFonts w:hint="eastAsia" w:ascii="宋体" w:hAnsi="宋体"/>
          <w:sz w:val="24"/>
        </w:rPr>
        <w:t>8）乙方为保证准时、高效的完成甲方货物运输业务，应及时向甲方提供和更新应急联络人清单及应急预案，联络人应保持通信畅通，应急预案可操作性真实有效，如乙方联系人通讯不畅造成甲方交付客户延误所造成的损失由乙方承担。甲方因特殊情况临时增加车辆或紧急用车时，乙方应积极主动协助处理。</w:t>
      </w:r>
    </w:p>
    <w:p>
      <w:pPr>
        <w:spacing w:line="360" w:lineRule="auto"/>
        <w:ind w:firstLine="360" w:firstLineChars="150"/>
        <w:jc w:val="left"/>
        <w:rPr>
          <w:rFonts w:hint="default" w:ascii="宋体" w:hAnsi="宋体" w:eastAsia="宋体"/>
          <w:sz w:val="24"/>
          <w:lang w:val="en-US" w:eastAsia="zh-CN"/>
        </w:rPr>
      </w:pPr>
      <w:r>
        <w:rPr>
          <w:rFonts w:hint="eastAsia" w:ascii="宋体" w:hAnsi="宋体"/>
          <w:sz w:val="24"/>
          <w:lang w:val="en-US" w:eastAsia="zh-CN"/>
        </w:rPr>
        <w:t>9）乙方需保证在与甲方约定的时间内将被委托运输物送达目的地收货方卸货区，如乙方车辆发生故障，乙方需10分钟内启用应急运输车辆，按时将货物送达收货方。因乙方车辆、人员等问题导致甲方客户投诉或停线，乙方承担所有甲方损失和客户索赔：停线6000元/分钟、投诉200元/次（不可抗力如台风、地震除外）。</w:t>
      </w:r>
    </w:p>
    <w:p>
      <w:pPr>
        <w:spacing w:line="360" w:lineRule="auto"/>
        <w:ind w:firstLine="360" w:firstLineChars="150"/>
        <w:rPr>
          <w:rFonts w:ascii="宋体" w:hAnsi="宋体"/>
          <w:sz w:val="24"/>
        </w:rPr>
      </w:pPr>
      <w:r>
        <w:rPr>
          <w:rFonts w:hint="eastAsia" w:ascii="宋体" w:hAnsi="宋体"/>
          <w:bCs/>
          <w:sz w:val="24"/>
        </w:rPr>
        <w:t>9）乙方</w:t>
      </w:r>
      <w:r>
        <w:rPr>
          <w:rFonts w:hint="eastAsia" w:ascii="宋体" w:hAnsi="宋体"/>
          <w:sz w:val="24"/>
        </w:rPr>
        <w:t>有责任对双方的相关信息、数据及程序相互保密，不能向第三方透露。</w:t>
      </w:r>
    </w:p>
    <w:p>
      <w:pPr>
        <w:spacing w:line="360" w:lineRule="auto"/>
        <w:rPr>
          <w:rFonts w:ascii="宋体" w:hAnsi="宋体"/>
          <w:b/>
          <w:bCs/>
          <w:sz w:val="24"/>
        </w:rPr>
      </w:pPr>
      <w:r>
        <w:rPr>
          <w:rFonts w:hint="eastAsia" w:ascii="宋体" w:hAnsi="宋体"/>
          <w:b/>
          <w:bCs/>
          <w:sz w:val="24"/>
        </w:rPr>
        <w:t>四、运输费用及对账结算方式</w:t>
      </w:r>
    </w:p>
    <w:p>
      <w:pPr>
        <w:spacing w:line="360" w:lineRule="auto"/>
        <w:jc w:val="left"/>
        <w:rPr>
          <w:rFonts w:ascii="宋体" w:hAnsi="宋体"/>
          <w:bCs/>
          <w:sz w:val="24"/>
        </w:rPr>
      </w:pPr>
      <w:r>
        <w:rPr>
          <w:rFonts w:hint="eastAsia" w:ascii="宋体" w:hAnsi="宋体"/>
          <w:bCs/>
          <w:sz w:val="24"/>
        </w:rPr>
        <w:t>1、 运输费用标准</w:t>
      </w:r>
    </w:p>
    <w:tbl>
      <w:tblPr>
        <w:tblStyle w:val="5"/>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980"/>
        <w:gridCol w:w="1266"/>
        <w:gridCol w:w="644"/>
        <w:gridCol w:w="700"/>
        <w:gridCol w:w="797"/>
        <w:gridCol w:w="939"/>
        <w:gridCol w:w="769"/>
        <w:gridCol w:w="770"/>
        <w:gridCol w:w="756"/>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55" w:type="dxa"/>
            <w:vMerge w:val="restart"/>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980" w:type="dxa"/>
            <w:vMerge w:val="restart"/>
            <w:vAlign w:val="center"/>
          </w:tcPr>
          <w:p>
            <w:pPr>
              <w:jc w:val="center"/>
              <w:rPr>
                <w:rFonts w:ascii="宋体" w:hAnsi="宋体"/>
                <w:color w:val="000000" w:themeColor="text1"/>
                <w:szCs w:val="21"/>
              </w:rPr>
            </w:pPr>
            <w:r>
              <w:rPr>
                <w:rFonts w:hint="eastAsia" w:ascii="宋体" w:hAnsi="宋体"/>
                <w:color w:val="000000" w:themeColor="text1"/>
                <w:szCs w:val="21"/>
              </w:rPr>
              <w:t>运输路线</w:t>
            </w:r>
          </w:p>
        </w:tc>
        <w:tc>
          <w:tcPr>
            <w:tcW w:w="1266" w:type="dxa"/>
            <w:vMerge w:val="restart"/>
            <w:vAlign w:val="center"/>
          </w:tcPr>
          <w:p>
            <w:pPr>
              <w:jc w:val="center"/>
              <w:rPr>
                <w:rFonts w:ascii="宋体" w:hAnsi="宋体"/>
                <w:color w:val="000000" w:themeColor="text1"/>
                <w:szCs w:val="21"/>
              </w:rPr>
            </w:pPr>
            <w:r>
              <w:rPr>
                <w:rFonts w:hint="eastAsia" w:ascii="宋体" w:hAnsi="宋体"/>
                <w:color w:val="000000" w:themeColor="text1"/>
                <w:szCs w:val="21"/>
              </w:rPr>
              <w:t>运输方式</w:t>
            </w:r>
          </w:p>
        </w:tc>
        <w:tc>
          <w:tcPr>
            <w:tcW w:w="1344" w:type="dxa"/>
            <w:gridSpan w:val="2"/>
            <w:vAlign w:val="center"/>
          </w:tcPr>
          <w:p>
            <w:pPr>
              <w:jc w:val="center"/>
              <w:rPr>
                <w:rFonts w:ascii="宋体" w:hAnsi="宋体"/>
                <w:color w:val="000000" w:themeColor="text1"/>
                <w:szCs w:val="21"/>
              </w:rPr>
            </w:pPr>
            <w:r>
              <w:rPr>
                <w:rFonts w:hint="eastAsia" w:ascii="宋体" w:hAnsi="宋体"/>
                <w:color w:val="000000" w:themeColor="text1"/>
                <w:szCs w:val="21"/>
              </w:rPr>
              <w:t>车型</w:t>
            </w:r>
          </w:p>
        </w:tc>
        <w:tc>
          <w:tcPr>
            <w:tcW w:w="797" w:type="dxa"/>
            <w:vMerge w:val="restart"/>
          </w:tcPr>
          <w:p>
            <w:pPr>
              <w:jc w:val="center"/>
              <w:rPr>
                <w:rFonts w:ascii="宋体" w:hAnsi="宋体"/>
                <w:color w:val="000000" w:themeColor="text1"/>
                <w:szCs w:val="21"/>
              </w:rPr>
            </w:pPr>
            <w:r>
              <w:rPr>
                <w:rFonts w:hint="eastAsia" w:ascii="宋体" w:hAnsi="宋体"/>
                <w:color w:val="000000" w:themeColor="text1"/>
                <w:szCs w:val="21"/>
              </w:rPr>
              <w:t>货重分类</w:t>
            </w:r>
          </w:p>
        </w:tc>
        <w:tc>
          <w:tcPr>
            <w:tcW w:w="939" w:type="dxa"/>
            <w:vMerge w:val="restart"/>
            <w:vAlign w:val="center"/>
          </w:tcPr>
          <w:p>
            <w:pPr>
              <w:jc w:val="center"/>
              <w:rPr>
                <w:rFonts w:ascii="宋体" w:hAnsi="宋体"/>
                <w:color w:val="000000" w:themeColor="text1"/>
                <w:szCs w:val="21"/>
              </w:rPr>
            </w:pPr>
            <w:r>
              <w:rPr>
                <w:rFonts w:hint="eastAsia" w:ascii="宋体" w:hAnsi="宋体"/>
                <w:color w:val="000000" w:themeColor="text1"/>
                <w:szCs w:val="21"/>
              </w:rPr>
              <w:t>结算</w:t>
            </w:r>
          </w:p>
          <w:p>
            <w:pPr>
              <w:jc w:val="center"/>
              <w:rPr>
                <w:rFonts w:ascii="宋体" w:hAnsi="宋体"/>
                <w:color w:val="000000" w:themeColor="text1"/>
                <w:szCs w:val="21"/>
              </w:rPr>
            </w:pPr>
            <w:r>
              <w:rPr>
                <w:rFonts w:hint="eastAsia" w:ascii="宋体" w:hAnsi="宋体"/>
                <w:color w:val="000000" w:themeColor="text1"/>
                <w:szCs w:val="21"/>
              </w:rPr>
              <w:t>单位</w:t>
            </w:r>
          </w:p>
        </w:tc>
        <w:tc>
          <w:tcPr>
            <w:tcW w:w="1539" w:type="dxa"/>
            <w:gridSpan w:val="2"/>
            <w:vAlign w:val="center"/>
          </w:tcPr>
          <w:p>
            <w:pPr>
              <w:jc w:val="center"/>
              <w:rPr>
                <w:rFonts w:ascii="宋体" w:hAnsi="宋体"/>
                <w:color w:val="000000" w:themeColor="text1"/>
                <w:szCs w:val="21"/>
              </w:rPr>
            </w:pPr>
            <w:r>
              <w:rPr>
                <w:rFonts w:hint="eastAsia" w:ascii="宋体" w:hAnsi="宋体"/>
                <w:color w:val="000000" w:themeColor="text1"/>
                <w:szCs w:val="21"/>
              </w:rPr>
              <w:t>结算价格（含税元/往返趟）</w:t>
            </w:r>
          </w:p>
        </w:tc>
        <w:tc>
          <w:tcPr>
            <w:tcW w:w="756" w:type="dxa"/>
            <w:vMerge w:val="restart"/>
          </w:tcPr>
          <w:p>
            <w:pPr>
              <w:jc w:val="center"/>
              <w:rPr>
                <w:rFonts w:ascii="宋体" w:hAnsi="宋体"/>
                <w:color w:val="000000" w:themeColor="text1"/>
                <w:szCs w:val="21"/>
              </w:rPr>
            </w:pPr>
            <w:r>
              <w:rPr>
                <w:rFonts w:hint="eastAsia" w:ascii="宋体" w:hAnsi="宋体"/>
                <w:color w:val="000000" w:themeColor="text1"/>
                <w:szCs w:val="21"/>
              </w:rPr>
              <w:t>运输时效</w:t>
            </w:r>
          </w:p>
        </w:tc>
        <w:tc>
          <w:tcPr>
            <w:tcW w:w="1081" w:type="dxa"/>
            <w:vMerge w:val="restart"/>
            <w:vAlign w:val="center"/>
          </w:tcPr>
          <w:p>
            <w:pPr>
              <w:jc w:val="center"/>
              <w:rPr>
                <w:rFonts w:ascii="宋体" w:hAnsi="宋体"/>
                <w:color w:val="000000" w:themeColor="text1"/>
                <w:szCs w:val="21"/>
              </w:rPr>
            </w:pPr>
            <w:r>
              <w:rPr>
                <w:rFonts w:hint="eastAsia" w:ascii="宋体" w:hAnsi="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55" w:type="dxa"/>
            <w:vMerge w:val="continue"/>
            <w:vAlign w:val="center"/>
          </w:tcPr>
          <w:p>
            <w:pPr>
              <w:jc w:val="center"/>
              <w:rPr>
                <w:rFonts w:ascii="宋体" w:hAnsi="宋体"/>
                <w:color w:val="000000" w:themeColor="text1"/>
                <w:szCs w:val="21"/>
              </w:rPr>
            </w:pPr>
          </w:p>
        </w:tc>
        <w:tc>
          <w:tcPr>
            <w:tcW w:w="1980" w:type="dxa"/>
            <w:vMerge w:val="continue"/>
            <w:vAlign w:val="center"/>
          </w:tcPr>
          <w:p>
            <w:pPr>
              <w:jc w:val="center"/>
              <w:rPr>
                <w:rFonts w:ascii="宋体" w:hAnsi="宋体"/>
                <w:color w:val="000000" w:themeColor="text1"/>
                <w:szCs w:val="21"/>
              </w:rPr>
            </w:pPr>
          </w:p>
        </w:tc>
        <w:tc>
          <w:tcPr>
            <w:tcW w:w="1266" w:type="dxa"/>
            <w:vMerge w:val="continue"/>
            <w:vAlign w:val="center"/>
          </w:tcPr>
          <w:p>
            <w:pPr>
              <w:jc w:val="center"/>
              <w:rPr>
                <w:rFonts w:ascii="宋体" w:hAnsi="宋体"/>
                <w:color w:val="000000" w:themeColor="text1"/>
                <w:szCs w:val="21"/>
              </w:rPr>
            </w:pPr>
          </w:p>
        </w:tc>
        <w:tc>
          <w:tcPr>
            <w:tcW w:w="644" w:type="dxa"/>
            <w:vAlign w:val="center"/>
          </w:tcPr>
          <w:p>
            <w:pPr>
              <w:jc w:val="center"/>
              <w:rPr>
                <w:rFonts w:ascii="宋体" w:hAnsi="宋体"/>
                <w:color w:val="000000" w:themeColor="text1"/>
                <w:szCs w:val="21"/>
              </w:rPr>
            </w:pPr>
            <w:r>
              <w:rPr>
                <w:rFonts w:hint="eastAsia" w:ascii="宋体" w:hAnsi="宋体"/>
                <w:color w:val="000000" w:themeColor="text1"/>
                <w:szCs w:val="21"/>
              </w:rPr>
              <w:t>7.6m</w:t>
            </w:r>
          </w:p>
        </w:tc>
        <w:tc>
          <w:tcPr>
            <w:tcW w:w="700" w:type="dxa"/>
            <w:vAlign w:val="center"/>
          </w:tcPr>
          <w:p>
            <w:pPr>
              <w:jc w:val="center"/>
              <w:rPr>
                <w:rFonts w:ascii="宋体" w:hAnsi="宋体"/>
                <w:color w:val="000000" w:themeColor="text1"/>
                <w:szCs w:val="21"/>
              </w:rPr>
            </w:pPr>
          </w:p>
        </w:tc>
        <w:tc>
          <w:tcPr>
            <w:tcW w:w="797" w:type="dxa"/>
            <w:vMerge w:val="continue"/>
          </w:tcPr>
          <w:p>
            <w:pPr>
              <w:jc w:val="center"/>
              <w:rPr>
                <w:rFonts w:ascii="宋体" w:hAnsi="宋体"/>
                <w:color w:val="000000" w:themeColor="text1"/>
                <w:szCs w:val="21"/>
              </w:rPr>
            </w:pPr>
          </w:p>
        </w:tc>
        <w:tc>
          <w:tcPr>
            <w:tcW w:w="939" w:type="dxa"/>
            <w:vMerge w:val="continue"/>
            <w:vAlign w:val="center"/>
          </w:tcPr>
          <w:p>
            <w:pPr>
              <w:jc w:val="center"/>
              <w:rPr>
                <w:rFonts w:ascii="宋体" w:hAnsi="宋体"/>
                <w:color w:val="000000" w:themeColor="text1"/>
                <w:szCs w:val="21"/>
              </w:rPr>
            </w:pPr>
          </w:p>
        </w:tc>
        <w:tc>
          <w:tcPr>
            <w:tcW w:w="769" w:type="dxa"/>
            <w:vAlign w:val="center"/>
          </w:tcPr>
          <w:p>
            <w:pPr>
              <w:jc w:val="center"/>
              <w:rPr>
                <w:rFonts w:ascii="宋体" w:hAnsi="宋体"/>
                <w:color w:val="000000" w:themeColor="text1"/>
                <w:szCs w:val="21"/>
              </w:rPr>
            </w:pPr>
            <w:r>
              <w:rPr>
                <w:rFonts w:hint="eastAsia" w:ascii="宋体" w:hAnsi="宋体"/>
                <w:color w:val="000000" w:themeColor="text1"/>
                <w:szCs w:val="21"/>
              </w:rPr>
              <w:t>7.6m</w:t>
            </w:r>
          </w:p>
        </w:tc>
        <w:tc>
          <w:tcPr>
            <w:tcW w:w="770" w:type="dxa"/>
            <w:vAlign w:val="center"/>
          </w:tcPr>
          <w:p>
            <w:pPr>
              <w:jc w:val="center"/>
              <w:rPr>
                <w:rFonts w:ascii="宋体" w:hAnsi="宋体"/>
                <w:color w:val="000000" w:themeColor="text1"/>
                <w:szCs w:val="21"/>
              </w:rPr>
            </w:pPr>
          </w:p>
        </w:tc>
        <w:tc>
          <w:tcPr>
            <w:tcW w:w="756" w:type="dxa"/>
            <w:vMerge w:val="continue"/>
          </w:tcPr>
          <w:p>
            <w:pPr>
              <w:jc w:val="center"/>
              <w:rPr>
                <w:rFonts w:ascii="宋体" w:hAnsi="宋体"/>
                <w:color w:val="000000" w:themeColor="text1"/>
                <w:szCs w:val="21"/>
              </w:rPr>
            </w:pPr>
          </w:p>
        </w:tc>
        <w:tc>
          <w:tcPr>
            <w:tcW w:w="1081" w:type="dxa"/>
            <w:vMerge w:val="continue"/>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5" w:type="dxa"/>
            <w:vAlign w:val="center"/>
          </w:tcPr>
          <w:p>
            <w:pPr>
              <w:jc w:val="center"/>
              <w:rPr>
                <w:rFonts w:ascii="宋体" w:hAnsi="宋体"/>
                <w:szCs w:val="21"/>
              </w:rPr>
            </w:pPr>
            <w:r>
              <w:rPr>
                <w:rFonts w:hint="eastAsia" w:ascii="宋体" w:hAnsi="宋体"/>
                <w:szCs w:val="21"/>
              </w:rPr>
              <w:t>1</w:t>
            </w:r>
          </w:p>
        </w:tc>
        <w:tc>
          <w:tcPr>
            <w:tcW w:w="1980" w:type="dxa"/>
            <w:vAlign w:val="center"/>
          </w:tcPr>
          <w:p>
            <w:pPr>
              <w:jc w:val="left"/>
              <w:rPr>
                <w:rFonts w:hint="default" w:ascii="宋体" w:hAnsi="宋体" w:eastAsia="宋体"/>
                <w:szCs w:val="21"/>
                <w:lang w:val="en-US" w:eastAsia="zh-CN"/>
              </w:rPr>
            </w:pPr>
            <w:r>
              <w:rPr>
                <w:rFonts w:hint="eastAsia" w:ascii="宋体" w:hAnsi="宋体"/>
                <w:szCs w:val="21"/>
                <w:lang w:val="en-US" w:eastAsia="zh-CN"/>
              </w:rPr>
              <w:t>成都光华-成都一汽大众</w:t>
            </w:r>
          </w:p>
        </w:tc>
        <w:tc>
          <w:tcPr>
            <w:tcW w:w="1266" w:type="dxa"/>
            <w:vAlign w:val="center"/>
          </w:tcPr>
          <w:p>
            <w:pPr>
              <w:jc w:val="center"/>
              <w:rPr>
                <w:rFonts w:ascii="宋体" w:hAnsi="宋体"/>
                <w:szCs w:val="21"/>
              </w:rPr>
            </w:pPr>
            <w:r>
              <w:rPr>
                <w:rFonts w:hint="eastAsia" w:ascii="宋体" w:hAnsi="宋体"/>
                <w:szCs w:val="21"/>
              </w:rPr>
              <w:t>汽运</w:t>
            </w:r>
          </w:p>
        </w:tc>
        <w:tc>
          <w:tcPr>
            <w:tcW w:w="1344" w:type="dxa"/>
            <w:gridSpan w:val="2"/>
            <w:vMerge w:val="restart"/>
            <w:vAlign w:val="center"/>
          </w:tcPr>
          <w:p>
            <w:pPr>
              <w:jc w:val="center"/>
              <w:rPr>
                <w:rFonts w:ascii="宋体" w:hAnsi="宋体"/>
                <w:szCs w:val="21"/>
              </w:rPr>
            </w:pPr>
            <w:r>
              <w:rPr>
                <w:rFonts w:hint="eastAsia" w:ascii="宋体" w:hAnsi="宋体"/>
                <w:szCs w:val="21"/>
              </w:rPr>
              <w:t>飞翼车</w:t>
            </w:r>
          </w:p>
        </w:tc>
        <w:tc>
          <w:tcPr>
            <w:tcW w:w="797" w:type="dxa"/>
            <w:vAlign w:val="center"/>
          </w:tcPr>
          <w:p>
            <w:pPr>
              <w:jc w:val="center"/>
              <w:rPr>
                <w:rFonts w:ascii="宋体" w:hAnsi="宋体"/>
                <w:szCs w:val="21"/>
              </w:rPr>
            </w:pPr>
            <w:r>
              <w:rPr>
                <w:rFonts w:hint="eastAsia" w:ascii="宋体" w:hAnsi="宋体"/>
                <w:szCs w:val="21"/>
              </w:rPr>
              <w:t>轻抛</w:t>
            </w:r>
          </w:p>
        </w:tc>
        <w:tc>
          <w:tcPr>
            <w:tcW w:w="939" w:type="dxa"/>
            <w:vAlign w:val="center"/>
          </w:tcPr>
          <w:p>
            <w:pPr>
              <w:jc w:val="center"/>
              <w:rPr>
                <w:rFonts w:ascii="宋体" w:hAnsi="宋体"/>
                <w:szCs w:val="21"/>
              </w:rPr>
            </w:pPr>
            <w:r>
              <w:rPr>
                <w:rFonts w:hint="eastAsia" w:ascii="宋体" w:hAnsi="宋体"/>
                <w:szCs w:val="21"/>
              </w:rPr>
              <w:t>车次</w:t>
            </w:r>
          </w:p>
        </w:tc>
        <w:tc>
          <w:tcPr>
            <w:tcW w:w="769"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140</w:t>
            </w:r>
          </w:p>
        </w:tc>
        <w:tc>
          <w:tcPr>
            <w:tcW w:w="770" w:type="dxa"/>
            <w:vAlign w:val="center"/>
          </w:tcPr>
          <w:p>
            <w:pPr>
              <w:jc w:val="center"/>
              <w:rPr>
                <w:rFonts w:ascii="宋体" w:hAnsi="宋体"/>
                <w:szCs w:val="21"/>
              </w:rPr>
            </w:pPr>
          </w:p>
        </w:tc>
        <w:tc>
          <w:tcPr>
            <w:tcW w:w="756" w:type="dxa"/>
            <w:vAlign w:val="center"/>
          </w:tcPr>
          <w:p>
            <w:pPr>
              <w:jc w:val="center"/>
              <w:rPr>
                <w:rFonts w:ascii="宋体" w:hAnsi="宋体"/>
                <w:szCs w:val="21"/>
              </w:rPr>
            </w:pPr>
          </w:p>
        </w:tc>
        <w:tc>
          <w:tcPr>
            <w:tcW w:w="108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5" w:type="dxa"/>
            <w:vAlign w:val="center"/>
          </w:tcPr>
          <w:p>
            <w:pPr>
              <w:jc w:val="center"/>
              <w:rPr>
                <w:rFonts w:ascii="宋体" w:hAnsi="宋体"/>
                <w:szCs w:val="21"/>
              </w:rPr>
            </w:pPr>
            <w:r>
              <w:rPr>
                <w:rFonts w:hint="eastAsia" w:ascii="宋体" w:hAnsi="宋体"/>
                <w:szCs w:val="21"/>
              </w:rPr>
              <w:t>2</w:t>
            </w:r>
          </w:p>
        </w:tc>
        <w:tc>
          <w:tcPr>
            <w:tcW w:w="1980" w:type="dxa"/>
            <w:vAlign w:val="center"/>
          </w:tcPr>
          <w:p>
            <w:pPr>
              <w:jc w:val="left"/>
              <w:rPr>
                <w:rFonts w:hint="default" w:ascii="宋体" w:hAnsi="宋体" w:eastAsia="宋体"/>
                <w:szCs w:val="21"/>
                <w:lang w:val="en-US" w:eastAsia="zh-CN"/>
              </w:rPr>
            </w:pPr>
            <w:r>
              <w:rPr>
                <w:rFonts w:hint="eastAsia" w:ascii="宋体" w:hAnsi="宋体"/>
                <w:szCs w:val="21"/>
                <w:lang w:val="en-US" w:eastAsia="zh-CN"/>
              </w:rPr>
              <w:t>成都光华-成都麦格纳</w:t>
            </w:r>
          </w:p>
        </w:tc>
        <w:tc>
          <w:tcPr>
            <w:tcW w:w="1266" w:type="dxa"/>
            <w:vAlign w:val="center"/>
          </w:tcPr>
          <w:p>
            <w:pPr>
              <w:jc w:val="center"/>
              <w:rPr>
                <w:rFonts w:ascii="宋体" w:hAnsi="宋体"/>
                <w:szCs w:val="21"/>
              </w:rPr>
            </w:pPr>
            <w:r>
              <w:rPr>
                <w:rFonts w:hint="eastAsia" w:ascii="宋体" w:hAnsi="宋体"/>
                <w:szCs w:val="21"/>
              </w:rPr>
              <w:t>汽运</w:t>
            </w:r>
          </w:p>
        </w:tc>
        <w:tc>
          <w:tcPr>
            <w:tcW w:w="1344" w:type="dxa"/>
            <w:gridSpan w:val="2"/>
            <w:vMerge w:val="continue"/>
            <w:tcBorders/>
            <w:vAlign w:val="center"/>
          </w:tcPr>
          <w:p>
            <w:pPr>
              <w:jc w:val="center"/>
              <w:rPr>
                <w:rFonts w:ascii="宋体" w:hAnsi="宋体"/>
                <w:szCs w:val="21"/>
              </w:rPr>
            </w:pPr>
          </w:p>
        </w:tc>
        <w:tc>
          <w:tcPr>
            <w:tcW w:w="797" w:type="dxa"/>
            <w:vAlign w:val="center"/>
          </w:tcPr>
          <w:p>
            <w:pPr>
              <w:jc w:val="center"/>
              <w:rPr>
                <w:rFonts w:ascii="宋体" w:hAnsi="宋体"/>
                <w:szCs w:val="21"/>
              </w:rPr>
            </w:pPr>
            <w:r>
              <w:rPr>
                <w:rFonts w:hint="eastAsia" w:ascii="宋体" w:hAnsi="宋体"/>
                <w:szCs w:val="21"/>
              </w:rPr>
              <w:t>轻抛</w:t>
            </w:r>
          </w:p>
        </w:tc>
        <w:tc>
          <w:tcPr>
            <w:tcW w:w="939" w:type="dxa"/>
            <w:vAlign w:val="center"/>
          </w:tcPr>
          <w:p>
            <w:pPr>
              <w:jc w:val="center"/>
              <w:rPr>
                <w:rFonts w:ascii="宋体" w:hAnsi="宋体"/>
                <w:szCs w:val="21"/>
              </w:rPr>
            </w:pPr>
            <w:r>
              <w:rPr>
                <w:rFonts w:hint="eastAsia" w:ascii="宋体" w:hAnsi="宋体"/>
                <w:szCs w:val="21"/>
              </w:rPr>
              <w:t>车次</w:t>
            </w:r>
          </w:p>
        </w:tc>
        <w:tc>
          <w:tcPr>
            <w:tcW w:w="769"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140</w:t>
            </w:r>
          </w:p>
        </w:tc>
        <w:tc>
          <w:tcPr>
            <w:tcW w:w="770" w:type="dxa"/>
            <w:vAlign w:val="center"/>
          </w:tcPr>
          <w:p>
            <w:pPr>
              <w:jc w:val="center"/>
              <w:rPr>
                <w:rFonts w:ascii="宋体" w:hAnsi="宋体"/>
                <w:szCs w:val="21"/>
              </w:rPr>
            </w:pPr>
          </w:p>
        </w:tc>
        <w:tc>
          <w:tcPr>
            <w:tcW w:w="756" w:type="dxa"/>
            <w:vAlign w:val="center"/>
          </w:tcPr>
          <w:p>
            <w:pPr>
              <w:jc w:val="center"/>
              <w:rPr>
                <w:rFonts w:ascii="宋体" w:hAnsi="宋体"/>
                <w:szCs w:val="21"/>
              </w:rPr>
            </w:pPr>
          </w:p>
        </w:tc>
        <w:tc>
          <w:tcPr>
            <w:tcW w:w="108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3</w:t>
            </w:r>
          </w:p>
        </w:tc>
        <w:tc>
          <w:tcPr>
            <w:tcW w:w="1980" w:type="dxa"/>
            <w:vAlign w:val="center"/>
          </w:tcPr>
          <w:p>
            <w:pPr>
              <w:jc w:val="left"/>
              <w:rPr>
                <w:rFonts w:hint="default" w:ascii="宋体" w:hAnsi="宋体"/>
                <w:szCs w:val="21"/>
                <w:lang w:val="en-US" w:eastAsia="zh-CN"/>
              </w:rPr>
            </w:pPr>
            <w:r>
              <w:rPr>
                <w:rFonts w:hint="eastAsia" w:ascii="宋体" w:hAnsi="宋体"/>
                <w:szCs w:val="21"/>
                <w:lang w:val="en-US" w:eastAsia="zh-CN"/>
              </w:rPr>
              <w:t>成都光华-成都安博库</w:t>
            </w:r>
          </w:p>
        </w:tc>
        <w:tc>
          <w:tcPr>
            <w:tcW w:w="1266"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汽运</w:t>
            </w:r>
          </w:p>
        </w:tc>
        <w:tc>
          <w:tcPr>
            <w:tcW w:w="1344" w:type="dxa"/>
            <w:gridSpan w:val="2"/>
            <w:vMerge w:val="continue"/>
            <w:tcBorders/>
            <w:vAlign w:val="center"/>
          </w:tcPr>
          <w:p>
            <w:pPr>
              <w:jc w:val="center"/>
              <w:rPr>
                <w:rFonts w:ascii="宋体" w:hAnsi="宋体"/>
                <w:szCs w:val="21"/>
              </w:rPr>
            </w:pPr>
          </w:p>
        </w:tc>
        <w:tc>
          <w:tcPr>
            <w:tcW w:w="797"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轻抛</w:t>
            </w:r>
          </w:p>
        </w:tc>
        <w:tc>
          <w:tcPr>
            <w:tcW w:w="939"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车次</w:t>
            </w:r>
          </w:p>
        </w:tc>
        <w:tc>
          <w:tcPr>
            <w:tcW w:w="769"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140</w:t>
            </w:r>
          </w:p>
        </w:tc>
        <w:tc>
          <w:tcPr>
            <w:tcW w:w="770" w:type="dxa"/>
            <w:vAlign w:val="center"/>
          </w:tcPr>
          <w:p>
            <w:pPr>
              <w:jc w:val="center"/>
              <w:rPr>
                <w:rFonts w:ascii="宋体" w:hAnsi="宋体"/>
                <w:szCs w:val="21"/>
              </w:rPr>
            </w:pPr>
          </w:p>
        </w:tc>
        <w:tc>
          <w:tcPr>
            <w:tcW w:w="756" w:type="dxa"/>
            <w:vAlign w:val="center"/>
          </w:tcPr>
          <w:p>
            <w:pPr>
              <w:jc w:val="center"/>
              <w:rPr>
                <w:rFonts w:ascii="宋体" w:hAnsi="宋体"/>
                <w:szCs w:val="21"/>
              </w:rPr>
            </w:pPr>
          </w:p>
        </w:tc>
        <w:tc>
          <w:tcPr>
            <w:tcW w:w="1081" w:type="dxa"/>
            <w:vAlign w:val="center"/>
          </w:tcPr>
          <w:p>
            <w:pPr>
              <w:jc w:val="center"/>
              <w:rPr>
                <w:rFonts w:ascii="宋体" w:hAnsi="宋体"/>
                <w:szCs w:val="21"/>
              </w:rPr>
            </w:pPr>
          </w:p>
        </w:tc>
      </w:tr>
    </w:tbl>
    <w:p>
      <w:pPr>
        <w:spacing w:line="360" w:lineRule="auto"/>
        <w:rPr>
          <w:rFonts w:cs="仿宋_GB2312" w:asciiTheme="majorEastAsia" w:hAnsiTheme="majorEastAsia" w:eastAsiaTheme="majorEastAsia"/>
          <w:bCs/>
          <w:sz w:val="24"/>
        </w:rPr>
      </w:pPr>
      <w:r>
        <w:rPr>
          <w:rFonts w:hint="eastAsia" w:ascii="宋体" w:hAnsi="宋体"/>
          <w:sz w:val="24"/>
        </w:rPr>
        <w:t>备注：</w:t>
      </w:r>
      <w:r>
        <w:rPr>
          <w:rFonts w:hint="eastAsia" w:cs="仿宋_GB2312" w:asciiTheme="majorEastAsia" w:hAnsiTheme="majorEastAsia" w:eastAsiaTheme="majorEastAsia"/>
          <w:sz w:val="24"/>
        </w:rPr>
        <w:t>此报价为含税价，</w:t>
      </w:r>
      <w:r>
        <w:rPr>
          <w:rFonts w:hint="eastAsia" w:cs="仿宋_GB2312" w:asciiTheme="majorEastAsia" w:hAnsiTheme="majorEastAsia" w:eastAsiaTheme="majorEastAsia"/>
          <w:bCs/>
          <w:sz w:val="24"/>
        </w:rPr>
        <w:t>开具运输增值税发票(税率</w:t>
      </w:r>
      <w:r>
        <w:rPr>
          <w:rFonts w:hint="default" w:cs="仿宋_GB2312" w:asciiTheme="majorEastAsia" w:hAnsiTheme="majorEastAsia" w:eastAsiaTheme="majorEastAsia"/>
          <w:bCs/>
          <w:sz w:val="24"/>
          <w:lang w:val="en-US"/>
        </w:rPr>
        <w:t>9</w:t>
      </w:r>
      <w:r>
        <w:rPr>
          <w:rFonts w:hint="eastAsia" w:cs="仿宋_GB2312" w:asciiTheme="majorEastAsia" w:hAnsiTheme="majorEastAsia" w:eastAsiaTheme="majorEastAsia"/>
          <w:bCs/>
          <w:sz w:val="24"/>
        </w:rPr>
        <w:t>%)</w:t>
      </w:r>
      <w:r>
        <w:rPr>
          <w:rFonts w:hint="default" w:cs="仿宋_GB2312" w:asciiTheme="majorEastAsia" w:hAnsiTheme="majorEastAsia" w:eastAsiaTheme="majorEastAsia"/>
          <w:bCs/>
          <w:sz w:val="24"/>
          <w:lang w:val="en-US"/>
        </w:rPr>
        <w:t>,</w:t>
      </w:r>
      <w:r>
        <w:rPr>
          <w:rFonts w:hint="eastAsia" w:cs="仿宋_GB2312" w:asciiTheme="majorEastAsia" w:hAnsiTheme="majorEastAsia" w:eastAsiaTheme="majorEastAsia"/>
          <w:bCs/>
          <w:sz w:val="24"/>
          <w:lang w:val="en-US" w:eastAsia="zh-CN"/>
        </w:rPr>
        <w:t>运输增值税发票税率随国家税率变更同时变更</w:t>
      </w:r>
      <w:r>
        <w:rPr>
          <w:rFonts w:hint="eastAsia" w:cs="仿宋_GB2312" w:asciiTheme="majorEastAsia" w:hAnsiTheme="majorEastAsia" w:eastAsiaTheme="majorEastAsia"/>
          <w:bCs/>
          <w:sz w:val="24"/>
        </w:rPr>
        <w:t>。</w:t>
      </w:r>
      <w:r>
        <w:rPr>
          <w:rFonts w:hint="eastAsia" w:ascii="宋体" w:hAnsi="宋体"/>
          <w:color w:val="000000" w:themeColor="text1"/>
          <w:sz w:val="24"/>
        </w:rPr>
        <w:t>油价上下涨幅超过</w:t>
      </w:r>
      <w:r>
        <w:rPr>
          <w:rFonts w:hint="eastAsia" w:ascii="宋体" w:hAnsi="宋体" w:cs="宋体"/>
          <w:color w:val="000000" w:themeColor="text1"/>
          <w:kern w:val="0"/>
          <w:sz w:val="24"/>
        </w:rPr>
        <w:t>±</w:t>
      </w:r>
      <w:r>
        <w:rPr>
          <w:rFonts w:hint="eastAsia" w:ascii="宋体" w:hAnsi="宋体"/>
          <w:color w:val="000000" w:themeColor="text1"/>
          <w:sz w:val="24"/>
        </w:rPr>
        <w:t>10%时，运输价格经双方协商可作相应调整。</w:t>
      </w:r>
      <w:r>
        <w:rPr>
          <w:rFonts w:hint="eastAsia"/>
          <w:color w:val="000000"/>
          <w:sz w:val="24"/>
        </w:rPr>
        <w:t>发往其他地方的运输价格，未在合同中约定的，必须经过双方确认，以当时市场价为准。</w:t>
      </w:r>
    </w:p>
    <w:p>
      <w:pPr>
        <w:spacing w:line="360" w:lineRule="auto"/>
        <w:rPr>
          <w:rFonts w:ascii="宋体" w:hAnsi="宋体"/>
          <w:color w:val="000000" w:themeColor="text1"/>
          <w:sz w:val="24"/>
        </w:rPr>
      </w:pPr>
      <w:r>
        <w:rPr>
          <w:rFonts w:hint="eastAsia" w:ascii="宋体" w:hAnsi="宋体"/>
          <w:color w:val="000000" w:themeColor="text1"/>
          <w:sz w:val="24"/>
        </w:rPr>
        <w:t>2、对账及结算方式：</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甲乙双方结算周期为每自然月（1日—31日），乙方每月5日前凭用车凭证及对账单汇总表与甲方进行对账确认，甲方在5个工作日内进行确认回复，无误后由乙方开具增值税发票寄交甲方挂账，甲方在收到发票后</w:t>
      </w:r>
      <w:r>
        <w:rPr>
          <w:rFonts w:hint="default" w:ascii="宋体" w:hAnsi="宋体"/>
          <w:color w:val="000000" w:themeColor="text1"/>
          <w:sz w:val="24"/>
          <w:lang w:val="en-US"/>
        </w:rPr>
        <w:t>30</w:t>
      </w:r>
      <w:r>
        <w:rPr>
          <w:rFonts w:hint="eastAsia" w:ascii="宋体" w:hAnsi="宋体"/>
          <w:color w:val="000000" w:themeColor="text1"/>
          <w:sz w:val="24"/>
        </w:rPr>
        <w:t>日内以银行转账支付给乙方运费。</w:t>
      </w:r>
    </w:p>
    <w:p>
      <w:pPr>
        <w:tabs>
          <w:tab w:val="left" w:pos="420"/>
        </w:tabs>
        <w:snapToGrid w:val="0"/>
        <w:spacing w:line="360" w:lineRule="exact"/>
        <w:rPr>
          <w:sz w:val="24"/>
        </w:rPr>
      </w:pPr>
      <w:r>
        <w:rPr>
          <w:rFonts w:hint="eastAsia"/>
          <w:b/>
          <w:sz w:val="24"/>
        </w:rPr>
        <w:t>五、知识产权条款：</w:t>
      </w:r>
    </w:p>
    <w:p>
      <w:pPr>
        <w:tabs>
          <w:tab w:val="left" w:pos="0"/>
        </w:tabs>
        <w:spacing w:line="360" w:lineRule="auto"/>
        <w:ind w:firstLine="720" w:firstLineChars="300"/>
        <w:rPr>
          <w:rFonts w:ascii="宋体" w:hAnsi="宋体"/>
          <w:sz w:val="24"/>
        </w:rPr>
      </w:pPr>
      <w:r>
        <w:rPr>
          <w:rFonts w:hint="eastAsia" w:ascii="宋体" w:hAnsi="宋体"/>
          <w:sz w:val="24"/>
        </w:rPr>
        <w:t>1、乙方应保证甲方在使用合同项下的货物或其任何一部分时免受任意第三方关于侵犯其知识产权、商标权或工业设计权的起诉。</w:t>
      </w:r>
    </w:p>
    <w:p>
      <w:pPr>
        <w:tabs>
          <w:tab w:val="left" w:pos="0"/>
        </w:tabs>
        <w:spacing w:line="360" w:lineRule="auto"/>
        <w:ind w:firstLine="720" w:firstLineChars="300"/>
        <w:rPr>
          <w:rFonts w:ascii="宋体" w:hAnsi="宋体"/>
          <w:sz w:val="24"/>
        </w:rPr>
      </w:pPr>
      <w:r>
        <w:rPr>
          <w:rFonts w:hint="eastAsia" w:ascii="宋体" w:hAnsi="宋体"/>
          <w:sz w:val="24"/>
        </w:rPr>
        <w:t>2、甲方不对乙方提供的货物的商标、专利是否侵犯他人的权利负责，如因乙方提供货物引发争议或违法导致甲方受损的，乙方应予赔偿。</w:t>
      </w:r>
    </w:p>
    <w:p>
      <w:pPr>
        <w:tabs>
          <w:tab w:val="left" w:pos="525"/>
        </w:tabs>
        <w:spacing w:line="360" w:lineRule="auto"/>
        <w:ind w:firstLine="720" w:firstLineChars="300"/>
        <w:rPr>
          <w:rFonts w:ascii="宋体" w:hAnsi="宋体"/>
          <w:sz w:val="24"/>
        </w:rPr>
      </w:pPr>
      <w:r>
        <w:rPr>
          <w:rFonts w:hint="eastAsia" w:ascii="宋体" w:hAnsi="宋体"/>
          <w:sz w:val="24"/>
        </w:rPr>
        <w:t>3、乙方保证其提供货物的商标、专利等知识产权为乙方所有，货物的知识产权非为乙方所有的，乙方有义务向甲方提供其合法获取的证明。</w:t>
      </w:r>
    </w:p>
    <w:p>
      <w:pPr>
        <w:tabs>
          <w:tab w:val="left" w:pos="426"/>
        </w:tabs>
        <w:spacing w:line="360" w:lineRule="exact"/>
        <w:rPr>
          <w:rFonts w:ascii="宋体" w:hAnsi="宋体"/>
          <w:b/>
          <w:sz w:val="24"/>
        </w:rPr>
      </w:pPr>
      <w:r>
        <w:rPr>
          <w:rFonts w:hint="eastAsia" w:ascii="宋体" w:hAnsi="宋体"/>
          <w:b/>
          <w:sz w:val="24"/>
        </w:rPr>
        <w:t>六、廉洁条款：</w:t>
      </w:r>
    </w:p>
    <w:p>
      <w:pPr>
        <w:tabs>
          <w:tab w:val="left" w:pos="525"/>
        </w:tabs>
        <w:spacing w:line="560" w:lineRule="exact"/>
        <w:ind w:firstLine="480" w:firstLineChars="200"/>
        <w:rPr>
          <w:rFonts w:ascii="宋体" w:hAnsi="宋体" w:cs="宋体"/>
          <w:sz w:val="24"/>
        </w:rPr>
      </w:pPr>
      <w:r>
        <w:rPr>
          <w:rFonts w:hint="eastAsia" w:ascii="宋体" w:hAnsi="宋体" w:cs="宋体"/>
          <w:sz w:val="24"/>
        </w:rPr>
        <w:t>（一）甲方廉洁义务</w:t>
      </w:r>
    </w:p>
    <w:p>
      <w:pPr>
        <w:tabs>
          <w:tab w:val="left" w:pos="525"/>
        </w:tabs>
        <w:spacing w:line="560" w:lineRule="exact"/>
        <w:ind w:firstLine="480" w:firstLineChars="200"/>
        <w:rPr>
          <w:rFonts w:ascii="宋体" w:hAnsi="宋体" w:cs="宋体"/>
          <w:sz w:val="24"/>
        </w:rPr>
      </w:pPr>
      <w:r>
        <w:rPr>
          <w:rFonts w:hint="eastAsia" w:ascii="宋体" w:hAnsi="宋体" w:cs="宋体"/>
          <w:sz w:val="24"/>
        </w:rPr>
        <w:t xml:space="preserve">甲方人员不得以任何形式向乙方索取贿赂，收受回扣及好处费等；不得接受乙方钱、物，有价证劵、邀请旅游、娱乐和宴请；不得借婚丧嫁娶之机收受乙方钱物。   </w:t>
      </w:r>
    </w:p>
    <w:p>
      <w:pPr>
        <w:tabs>
          <w:tab w:val="left" w:pos="525"/>
        </w:tabs>
        <w:spacing w:line="560" w:lineRule="exact"/>
        <w:ind w:firstLine="480" w:firstLineChars="200"/>
        <w:rPr>
          <w:rFonts w:ascii="宋体" w:hAnsi="宋体" w:cs="宋体"/>
          <w:sz w:val="24"/>
        </w:rPr>
      </w:pPr>
      <w:r>
        <w:rPr>
          <w:rFonts w:hint="eastAsia" w:ascii="宋体" w:hAnsi="宋体" w:cs="宋体"/>
          <w:sz w:val="24"/>
        </w:rPr>
        <w:t>（二）乙方廉洁义务</w:t>
      </w:r>
    </w:p>
    <w:p>
      <w:pPr>
        <w:tabs>
          <w:tab w:val="left" w:pos="525"/>
        </w:tabs>
        <w:spacing w:line="560" w:lineRule="exact"/>
        <w:ind w:firstLine="480" w:firstLineChars="200"/>
        <w:rPr>
          <w:rFonts w:ascii="宋体" w:hAnsi="宋体" w:cs="宋体"/>
          <w:sz w:val="24"/>
        </w:rPr>
      </w:pPr>
      <w:r>
        <w:rPr>
          <w:rFonts w:hint="eastAsia" w:ascii="宋体" w:hAnsi="宋体" w:cs="宋体"/>
          <w:sz w:val="24"/>
        </w:rPr>
        <w:t>乙方承诺遵守甲方在廉洁从业方面的各项制度和规定。乙方人员不得以任何形式向甲方人员行贿、提供回扣或其它好处费用；不得对甲方人员馈赠钱物、报销任何费用；不得邀请甲方人员参加旅游、娱乐或宴请活动；不得借婚丧嫁娶之机向甲方人员赠送钱物。</w:t>
      </w:r>
    </w:p>
    <w:p>
      <w:pPr>
        <w:tabs>
          <w:tab w:val="left" w:pos="525"/>
        </w:tabs>
        <w:spacing w:line="560" w:lineRule="exact"/>
        <w:ind w:firstLine="360" w:firstLineChars="150"/>
        <w:rPr>
          <w:rFonts w:ascii="宋体" w:hAnsi="宋体" w:cs="宋体"/>
          <w:sz w:val="24"/>
        </w:rPr>
      </w:pPr>
      <w:r>
        <w:rPr>
          <w:rFonts w:hint="eastAsia" w:ascii="宋体" w:hAnsi="宋体" w:cs="宋体"/>
          <w:sz w:val="24"/>
        </w:rPr>
        <w:t>（三）违反廉洁义务责任</w:t>
      </w:r>
    </w:p>
    <w:p>
      <w:pPr>
        <w:tabs>
          <w:tab w:val="left" w:pos="525"/>
        </w:tabs>
        <w:spacing w:line="560" w:lineRule="exact"/>
        <w:ind w:firstLine="480" w:firstLineChars="200"/>
        <w:rPr>
          <w:rFonts w:ascii="宋体" w:hAnsi="宋体" w:cs="宋体"/>
          <w:sz w:val="24"/>
        </w:rPr>
      </w:pPr>
      <w:r>
        <w:rPr>
          <w:rFonts w:hint="eastAsia" w:ascii="宋体" w:hAnsi="宋体" w:cs="宋体"/>
          <w:sz w:val="24"/>
        </w:rPr>
        <w:t>1、甲方人员违反廉洁义务，经调查属实的，甲方依据党政纪规定对当事人进行严肃处理，对涉嫌犯罪事项移送司法机关。</w:t>
      </w:r>
    </w:p>
    <w:p>
      <w:pPr>
        <w:tabs>
          <w:tab w:val="left" w:pos="525"/>
        </w:tabs>
        <w:spacing w:line="560" w:lineRule="exact"/>
        <w:ind w:firstLine="480" w:firstLineChars="200"/>
        <w:rPr>
          <w:rFonts w:ascii="宋体" w:hAnsi="宋体" w:cs="宋体"/>
          <w:sz w:val="24"/>
        </w:rPr>
      </w:pPr>
      <w:r>
        <w:rPr>
          <w:rFonts w:hint="eastAsia" w:ascii="宋体" w:hAnsi="宋体" w:cs="宋体"/>
          <w:sz w:val="24"/>
        </w:rPr>
        <w:t>2、乙方及其人员违反廉洁义务的，甲方有权将其列入“黑名单”，并有权书面通知乙方解除甲方与乙方已签订但尚未履行完毕的全部或部分商务合同，且乙方应赔偿由此给甲方造成的经济损失,同时扣除合同金额10%作为廉洁违约金。</w:t>
      </w:r>
    </w:p>
    <w:p>
      <w:pPr>
        <w:spacing w:line="520" w:lineRule="exact"/>
        <w:rPr>
          <w:rFonts w:ascii="宋体" w:hAnsi="宋体" w:cs="宋体"/>
          <w:sz w:val="24"/>
        </w:rPr>
      </w:pPr>
      <w:r>
        <w:rPr>
          <w:rFonts w:hint="eastAsia" w:ascii="宋体" w:hAnsi="宋体" w:cs="宋体"/>
          <w:sz w:val="24"/>
        </w:rPr>
        <w:t xml:space="preserve">  （四）举报电话：</w:t>
      </w:r>
      <w:r>
        <w:rPr>
          <w:rFonts w:hint="default" w:ascii="宋体" w:hAnsi="宋体" w:cs="宋体"/>
          <w:sz w:val="24"/>
          <w:lang w:val="en-US"/>
        </w:rPr>
        <w:t xml:space="preserve">                            </w:t>
      </w:r>
      <w:r>
        <w:rPr>
          <w:rFonts w:hint="eastAsia" w:ascii="宋体" w:hAnsi="宋体" w:cs="宋体"/>
          <w:sz w:val="24"/>
        </w:rPr>
        <w:t>举报邮箱：</w:t>
      </w:r>
    </w:p>
    <w:p>
      <w:pPr>
        <w:spacing w:before="156" w:beforeLines="50" w:line="360" w:lineRule="auto"/>
        <w:rPr>
          <w:rFonts w:ascii="宋体" w:hAnsi="宋体"/>
          <w:b/>
          <w:sz w:val="24"/>
        </w:rPr>
      </w:pPr>
      <w:r>
        <w:rPr>
          <w:rFonts w:hint="eastAsia" w:ascii="宋体" w:hAnsi="宋体"/>
          <w:b/>
          <w:bCs/>
          <w:sz w:val="24"/>
        </w:rPr>
        <w:t>七、合同的有效期、变更和终止</w:t>
      </w:r>
    </w:p>
    <w:p>
      <w:pPr>
        <w:spacing w:line="360" w:lineRule="auto"/>
        <w:rPr>
          <w:rFonts w:ascii="宋体" w:hAnsi="宋体"/>
          <w:sz w:val="24"/>
        </w:rPr>
      </w:pPr>
      <w:r>
        <w:rPr>
          <w:rFonts w:hint="eastAsia" w:ascii="宋体" w:hAnsi="宋体"/>
          <w:bCs/>
          <w:sz w:val="24"/>
        </w:rPr>
        <w:t>1、</w:t>
      </w:r>
      <w:r>
        <w:rPr>
          <w:rFonts w:hint="eastAsia" w:ascii="宋体" w:hAnsi="宋体"/>
          <w:sz w:val="24"/>
        </w:rPr>
        <w:t>本合同自甲、乙双方签字盖章后生效。合同期</w:t>
      </w:r>
      <w:r>
        <w:rPr>
          <w:rFonts w:hint="eastAsia" w:ascii="宋体" w:hAnsi="宋体"/>
          <w:color w:val="000000" w:themeColor="text1"/>
          <w:sz w:val="24"/>
        </w:rPr>
        <w:t>限自</w:t>
      </w:r>
      <w:r>
        <w:rPr>
          <w:rFonts w:hint="eastAsia" w:ascii="宋体" w:hAnsi="宋体"/>
          <w:sz w:val="24"/>
        </w:rPr>
        <w:t>2</w:t>
      </w:r>
      <w:r>
        <w:rPr>
          <w:rFonts w:hint="eastAsia" w:ascii="宋体" w:hAnsi="宋体"/>
          <w:sz w:val="24"/>
          <w:lang w:val="en-US" w:eastAsia="zh-CN"/>
        </w:rPr>
        <w:t>022</w:t>
      </w:r>
      <w:r>
        <w:rPr>
          <w:rFonts w:hint="eastAsia" w:ascii="宋体" w:hAnsi="宋体"/>
          <w:sz w:val="24"/>
        </w:rPr>
        <w:t>年</w:t>
      </w:r>
      <w:r>
        <w:rPr>
          <w:rFonts w:hint="eastAsia" w:ascii="宋体" w:hAnsi="宋体"/>
          <w:sz w:val="24"/>
          <w:lang w:val="en-US" w:eastAsia="zh-CN"/>
        </w:rPr>
        <w:t>1</w:t>
      </w:r>
      <w:r>
        <w:rPr>
          <w:rFonts w:hint="default" w:ascii="宋体" w:hAnsi="宋体"/>
          <w:sz w:val="24"/>
          <w:lang w:val="en-US"/>
        </w:rPr>
        <w:t xml:space="preserve"> </w:t>
      </w:r>
      <w:r>
        <w:rPr>
          <w:rFonts w:hint="eastAsia" w:ascii="宋体" w:hAnsi="宋体"/>
          <w:sz w:val="24"/>
        </w:rPr>
        <w:t>月</w:t>
      </w:r>
      <w:r>
        <w:rPr>
          <w:rFonts w:hint="default" w:ascii="宋体" w:hAnsi="宋体"/>
          <w:sz w:val="24"/>
          <w:lang w:val="en-US"/>
        </w:rPr>
        <w:t xml:space="preserve"> </w:t>
      </w:r>
      <w:r>
        <w:rPr>
          <w:rFonts w:hint="eastAsia" w:ascii="宋体" w:hAnsi="宋体"/>
          <w:sz w:val="24"/>
          <w:lang w:val="en-US" w:eastAsia="zh-CN"/>
        </w:rPr>
        <w:t>1</w:t>
      </w:r>
      <w:r>
        <w:rPr>
          <w:rFonts w:hint="eastAsia" w:ascii="宋体" w:hAnsi="宋体"/>
          <w:sz w:val="24"/>
        </w:rPr>
        <w:t>日起至20</w:t>
      </w:r>
      <w:r>
        <w:rPr>
          <w:rFonts w:hint="eastAsia" w:ascii="宋体" w:hAnsi="宋体"/>
          <w:sz w:val="24"/>
          <w:lang w:val="en-US" w:eastAsia="zh-CN"/>
        </w:rPr>
        <w:t>22</w:t>
      </w:r>
      <w:r>
        <w:rPr>
          <w:rFonts w:hint="eastAsia" w:ascii="宋体" w:hAnsi="宋体"/>
          <w:sz w:val="24"/>
        </w:rPr>
        <w:t>年</w:t>
      </w:r>
      <w:r>
        <w:rPr>
          <w:rFonts w:hint="default" w:ascii="宋体" w:hAnsi="宋体"/>
          <w:sz w:val="24"/>
          <w:lang w:val="en-US"/>
        </w:rPr>
        <w:t xml:space="preserve"> </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31</w:t>
      </w:r>
      <w:r>
        <w:rPr>
          <w:rFonts w:hint="eastAsia" w:ascii="宋体" w:hAnsi="宋体"/>
          <w:sz w:val="24"/>
        </w:rPr>
        <w:t>日止。</w:t>
      </w:r>
    </w:p>
    <w:p>
      <w:pPr>
        <w:spacing w:line="360" w:lineRule="auto"/>
        <w:rPr>
          <w:rFonts w:ascii="宋体" w:hAnsi="宋体"/>
          <w:sz w:val="24"/>
        </w:rPr>
      </w:pPr>
      <w:r>
        <w:rPr>
          <w:rFonts w:hint="eastAsia" w:ascii="宋体" w:hAnsi="宋体"/>
          <w:bCs/>
          <w:sz w:val="24"/>
        </w:rPr>
        <w:t>2、合同的变更和终止。</w:t>
      </w:r>
      <w:r>
        <w:rPr>
          <w:rFonts w:hint="eastAsia" w:ascii="宋体" w:hAnsi="宋体"/>
          <w:sz w:val="24"/>
        </w:rPr>
        <w:t>甲、乙双方的任何一方对本合同提出异议，须提前30天以书面形式通知对方，具体事项由双方协商确定。合同到期后，若双方都未提出异议，到期合同将自动延长，延长</w:t>
      </w:r>
      <w:r>
        <w:rPr>
          <w:rFonts w:hint="eastAsia"/>
          <w:sz w:val="24"/>
          <w:szCs w:val="32"/>
        </w:rPr>
        <w:t>期为一年</w:t>
      </w:r>
      <w:r>
        <w:rPr>
          <w:rFonts w:hint="eastAsia" w:ascii="宋体" w:hAnsi="宋体"/>
          <w:sz w:val="24"/>
        </w:rPr>
        <w:t>。</w:t>
      </w:r>
    </w:p>
    <w:p>
      <w:pPr>
        <w:spacing w:line="360" w:lineRule="auto"/>
        <w:rPr>
          <w:rFonts w:ascii="宋体" w:hAnsi="宋体"/>
          <w:b/>
          <w:bCs/>
          <w:sz w:val="24"/>
        </w:rPr>
      </w:pPr>
      <w:r>
        <w:rPr>
          <w:rFonts w:hint="eastAsia" w:ascii="宋体" w:hAnsi="宋体"/>
          <w:b/>
          <w:bCs/>
          <w:sz w:val="24"/>
        </w:rPr>
        <w:t>八、解决合同纠纷的方式</w:t>
      </w:r>
    </w:p>
    <w:p>
      <w:pPr>
        <w:spacing w:line="360" w:lineRule="auto"/>
        <w:ind w:right="-153" w:rightChars="-73" w:firstLine="480" w:firstLineChars="200"/>
        <w:rPr>
          <w:rFonts w:ascii="宋体" w:hAnsi="宋体"/>
          <w:sz w:val="24"/>
        </w:rPr>
      </w:pPr>
      <w:r>
        <w:rPr>
          <w:rFonts w:hint="eastAsia" w:ascii="宋体" w:hAnsi="宋体"/>
          <w:sz w:val="24"/>
        </w:rPr>
        <w:t xml:space="preserve">凡因执行本合同所发生的或与本合同有关的一切争议，由双方当事人协商解决。协商不成，任何一方均可依本合同向合同签订地有管辖权的人民法院起诉。 </w:t>
      </w:r>
    </w:p>
    <w:p>
      <w:pPr>
        <w:spacing w:line="360" w:lineRule="auto"/>
        <w:rPr>
          <w:rFonts w:ascii="宋体" w:hAnsi="宋体"/>
          <w:b/>
          <w:bCs/>
          <w:color w:val="000000" w:themeColor="text1"/>
          <w:sz w:val="24"/>
        </w:rPr>
      </w:pPr>
      <w:r>
        <w:rPr>
          <w:rFonts w:hint="eastAsia" w:ascii="宋体" w:hAnsi="宋体"/>
          <w:b/>
          <w:bCs/>
          <w:color w:val="000000" w:themeColor="text1"/>
          <w:sz w:val="24"/>
        </w:rPr>
        <w:t>九、其它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1、不可抗力：如遇地震、洪水等自然灾害影响合同的运行双方均不得相互追究责任。</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2、本合同一式</w:t>
      </w:r>
      <w:r>
        <w:rPr>
          <w:rFonts w:hint="eastAsia" w:ascii="宋体" w:hAnsi="宋体"/>
          <w:bCs/>
          <w:color w:val="000000" w:themeColor="text1"/>
          <w:sz w:val="24"/>
          <w:lang w:eastAsia="zh-CN"/>
        </w:rPr>
        <w:t>四</w:t>
      </w:r>
      <w:r>
        <w:rPr>
          <w:rFonts w:hint="eastAsia" w:ascii="宋体" w:hAnsi="宋体"/>
          <w:bCs/>
          <w:color w:val="000000" w:themeColor="text1"/>
          <w:sz w:val="24"/>
        </w:rPr>
        <w:t>份，</w:t>
      </w:r>
      <w:r>
        <w:rPr>
          <w:rFonts w:hint="eastAsia" w:ascii="宋体" w:hAnsi="宋体"/>
          <w:color w:val="000000" w:themeColor="text1"/>
          <w:sz w:val="24"/>
        </w:rPr>
        <w:t>甲</w:t>
      </w:r>
      <w:r>
        <w:rPr>
          <w:rFonts w:hint="eastAsia" w:ascii="宋体" w:hAnsi="宋体"/>
          <w:color w:val="000000" w:themeColor="text1"/>
          <w:sz w:val="24"/>
          <w:lang w:eastAsia="zh-CN"/>
        </w:rPr>
        <w:t>乙双</w:t>
      </w:r>
      <w:r>
        <w:rPr>
          <w:rFonts w:hint="eastAsia" w:ascii="宋体" w:hAnsi="宋体"/>
          <w:color w:val="000000" w:themeColor="text1"/>
          <w:sz w:val="24"/>
        </w:rPr>
        <w:t>方</w:t>
      </w:r>
      <w:r>
        <w:rPr>
          <w:rFonts w:hint="eastAsia" w:ascii="宋体" w:hAnsi="宋体"/>
          <w:color w:val="000000" w:themeColor="text1"/>
          <w:sz w:val="24"/>
          <w:lang w:eastAsia="zh-CN"/>
        </w:rPr>
        <w:t>各</w:t>
      </w:r>
      <w:r>
        <w:rPr>
          <w:rFonts w:hint="eastAsia" w:ascii="宋体" w:hAnsi="宋体"/>
          <w:color w:val="000000" w:themeColor="text1"/>
          <w:sz w:val="24"/>
        </w:rPr>
        <w:t>执</w:t>
      </w:r>
      <w:r>
        <w:rPr>
          <w:rFonts w:hint="eastAsia" w:ascii="宋体" w:hAnsi="宋体"/>
          <w:color w:val="000000" w:themeColor="text1"/>
          <w:sz w:val="24"/>
          <w:lang w:eastAsia="zh-CN"/>
        </w:rPr>
        <w:t>二</w:t>
      </w:r>
      <w:r>
        <w:rPr>
          <w:rFonts w:hint="eastAsia" w:ascii="宋体" w:hAnsi="宋体"/>
          <w:color w:val="000000" w:themeColor="text1"/>
          <w:sz w:val="24"/>
        </w:rPr>
        <w:t>份</w:t>
      </w:r>
      <w:r>
        <w:rPr>
          <w:rFonts w:hint="eastAsia" w:ascii="宋体" w:hAnsi="宋体"/>
          <w:bCs/>
          <w:color w:val="000000" w:themeColor="text1"/>
          <w:sz w:val="24"/>
        </w:rPr>
        <w:t>，具有同等法律效力。</w:t>
      </w:r>
    </w:p>
    <w:p>
      <w:pPr>
        <w:spacing w:line="360" w:lineRule="auto"/>
        <w:ind w:firstLine="480" w:firstLineChars="200"/>
        <w:rPr>
          <w:rFonts w:ascii="宋体" w:hAnsi="宋体"/>
          <w:color w:val="000000" w:themeColor="text1"/>
          <w:sz w:val="24"/>
        </w:rPr>
      </w:pPr>
    </w:p>
    <w:p>
      <w:pPr>
        <w:spacing w:line="360" w:lineRule="auto"/>
        <w:ind w:left="5955" w:hanging="5955"/>
        <w:rPr>
          <w:rFonts w:ascii="宋体" w:hAnsi="宋体"/>
          <w:b/>
          <w:bCs/>
          <w:color w:val="000000" w:themeColor="text1"/>
          <w:sz w:val="24"/>
        </w:rPr>
      </w:pPr>
    </w:p>
    <w:p>
      <w:pPr>
        <w:adjustRightInd w:val="0"/>
        <w:snapToGrid w:val="0"/>
        <w:spacing w:line="480" w:lineRule="auto"/>
        <w:rPr>
          <w:rFonts w:hint="eastAsia"/>
          <w:b/>
          <w:sz w:val="24"/>
          <w:lang w:val="en-US" w:eastAsia="zh-CN"/>
        </w:rPr>
      </w:pPr>
      <w:r>
        <w:rPr>
          <w:rFonts w:hint="eastAsia" w:ascii="宋体" w:hAnsi="宋体"/>
          <w:b/>
          <w:bCs/>
          <w:color w:val="000000" w:themeColor="text1"/>
          <w:sz w:val="24"/>
        </w:rPr>
        <w:t>甲方</w:t>
      </w:r>
      <w:r>
        <w:rPr>
          <w:rFonts w:hint="eastAsia" w:ascii="宋体" w:hAnsi="宋体"/>
          <w:b/>
          <w:bCs/>
          <w:color w:val="000000" w:themeColor="text1"/>
          <w:sz w:val="24"/>
          <w:lang w:eastAsia="zh-CN"/>
        </w:rPr>
        <w:t>：</w:t>
      </w:r>
      <w:r>
        <w:rPr>
          <w:rFonts w:hint="eastAsia" w:ascii="宋体" w:hAnsi="宋体"/>
          <w:b/>
          <w:bCs/>
          <w:color w:val="000000" w:themeColor="text1"/>
          <w:sz w:val="24"/>
          <w:lang w:val="en-US" w:eastAsia="zh-CN"/>
        </w:rPr>
        <w:t>成都光华智能汽车部件有限公司</w:t>
      </w:r>
      <w:r>
        <w:rPr>
          <w:rFonts w:hint="default" w:ascii="宋体" w:hAnsi="宋体"/>
          <w:b/>
          <w:bCs/>
          <w:color w:val="000000" w:themeColor="text1"/>
          <w:sz w:val="24"/>
          <w:lang w:val="en-US"/>
        </w:rPr>
        <w:t xml:space="preserve">      </w:t>
      </w:r>
      <w:r>
        <w:rPr>
          <w:rFonts w:hint="eastAsia" w:ascii="宋体" w:hAnsi="宋体"/>
          <w:b/>
          <w:color w:val="000000" w:themeColor="text1"/>
          <w:sz w:val="24"/>
          <w:lang w:val="en-US" w:eastAsia="zh-CN"/>
        </w:rPr>
        <w:t xml:space="preserve"> </w:t>
      </w:r>
      <w:r>
        <w:rPr>
          <w:rFonts w:hint="eastAsia" w:ascii="宋体" w:hAnsi="宋体"/>
          <w:b/>
          <w:bCs/>
          <w:color w:val="000000" w:themeColor="text1"/>
          <w:sz w:val="24"/>
        </w:rPr>
        <w:t>乙方：</w:t>
      </w:r>
      <w:r>
        <w:rPr>
          <w:rFonts w:hint="eastAsia"/>
          <w:b/>
          <w:sz w:val="24"/>
          <w:lang w:val="en-US" w:eastAsia="zh-CN"/>
        </w:rPr>
        <w:t>四川林昌物流有限公司</w:t>
      </w:r>
    </w:p>
    <w:p>
      <w:pPr>
        <w:adjustRightInd w:val="0"/>
        <w:snapToGrid w:val="0"/>
        <w:spacing w:line="480" w:lineRule="auto"/>
        <w:rPr>
          <w:rFonts w:ascii="宋体" w:hAnsi="宋体"/>
          <w:b/>
          <w:color w:val="000000" w:themeColor="text1"/>
          <w:sz w:val="24"/>
        </w:rPr>
      </w:pPr>
      <w:r>
        <w:rPr>
          <w:rFonts w:hint="eastAsia" w:ascii="宋体" w:hAnsi="宋体"/>
          <w:b/>
          <w:color w:val="000000" w:themeColor="text1"/>
          <w:sz w:val="24"/>
        </w:rPr>
        <w:t>甲方（盖章）                             乙方（盖章）</w:t>
      </w:r>
    </w:p>
    <w:p>
      <w:pPr>
        <w:spacing w:line="360" w:lineRule="auto"/>
        <w:ind w:left="5692" w:hanging="6505" w:hangingChars="2700"/>
        <w:rPr>
          <w:rFonts w:ascii="宋体" w:hAnsi="宋体"/>
          <w:b/>
          <w:color w:val="000000" w:themeColor="text1"/>
          <w:sz w:val="20"/>
          <w:szCs w:val="20"/>
        </w:rPr>
      </w:pPr>
      <w:r>
        <w:rPr>
          <w:rFonts w:hint="eastAsia" w:ascii="宋体" w:hAnsi="宋体"/>
          <w:b/>
          <w:color w:val="000000" w:themeColor="text1"/>
          <w:sz w:val="24"/>
        </w:rPr>
        <w:t>注册地址：</w:t>
      </w:r>
      <w:r>
        <w:rPr>
          <w:rFonts w:hint="default" w:ascii="宋体" w:hAnsi="宋体"/>
          <w:b/>
          <w:color w:val="000000" w:themeColor="text1"/>
          <w:sz w:val="24"/>
          <w:lang w:val="en-US"/>
        </w:rPr>
        <w:t xml:space="preserve">                               </w:t>
      </w:r>
      <w:r>
        <w:rPr>
          <w:rFonts w:hint="eastAsia" w:ascii="宋体" w:hAnsi="宋体"/>
          <w:b/>
          <w:color w:val="000000" w:themeColor="text1"/>
          <w:sz w:val="24"/>
        </w:rPr>
        <w:t>注册地址：</w:t>
      </w:r>
    </w:p>
    <w:p>
      <w:pPr>
        <w:adjustRightInd w:val="0"/>
        <w:snapToGrid w:val="0"/>
        <w:spacing w:line="480" w:lineRule="auto"/>
        <w:rPr>
          <w:rFonts w:ascii="宋体" w:hAnsi="宋体"/>
          <w:b/>
          <w:color w:val="000000" w:themeColor="text1"/>
          <w:sz w:val="24"/>
        </w:rPr>
      </w:pPr>
    </w:p>
    <w:p>
      <w:pPr>
        <w:adjustRightInd w:val="0"/>
        <w:snapToGrid w:val="0"/>
        <w:spacing w:line="480" w:lineRule="auto"/>
        <w:rPr>
          <w:rFonts w:asciiTheme="minorEastAsia" w:hAnsiTheme="minorEastAsia" w:eastAsiaTheme="minorEastAsia" w:cstheme="minorBidi"/>
          <w:b/>
          <w:sz w:val="22"/>
          <w:szCs w:val="22"/>
        </w:rPr>
      </w:pPr>
      <w:r>
        <w:rPr>
          <w:rFonts w:hint="eastAsia" w:ascii="宋体" w:hAnsi="宋体"/>
          <w:b/>
          <w:color w:val="000000" w:themeColor="text1"/>
          <w:sz w:val="24"/>
        </w:rPr>
        <w:t>开户行：</w:t>
      </w:r>
      <w:r>
        <w:rPr>
          <w:rFonts w:hint="eastAsia" w:ascii="宋体" w:hAnsi="宋体"/>
          <w:b/>
          <w:bCs/>
          <w:color w:val="FF0000"/>
          <w:sz w:val="24"/>
        </w:rPr>
        <w:t xml:space="preserve"> </w:t>
      </w:r>
      <w:r>
        <w:rPr>
          <w:rFonts w:hint="eastAsia" w:asciiTheme="minorEastAsia" w:hAnsiTheme="minorEastAsia" w:eastAsiaTheme="minorEastAsia" w:cstheme="minorBidi"/>
          <w:b/>
          <w:sz w:val="24"/>
        </w:rPr>
        <w:t xml:space="preserve"> </w:t>
      </w:r>
      <w:r>
        <w:rPr>
          <w:rFonts w:hint="eastAsia" w:asciiTheme="minorEastAsia" w:hAnsiTheme="minorEastAsia" w:eastAsiaTheme="minorEastAsia" w:cstheme="minorBidi"/>
          <w:b/>
          <w:sz w:val="24"/>
          <w:szCs w:val="22"/>
        </w:rPr>
        <w:t xml:space="preserve">     </w:t>
      </w:r>
      <w:r>
        <w:rPr>
          <w:rFonts w:hint="default" w:asciiTheme="minorEastAsia" w:hAnsiTheme="minorEastAsia" w:eastAsiaTheme="minorEastAsia" w:cstheme="minorBidi"/>
          <w:b/>
          <w:sz w:val="24"/>
          <w:szCs w:val="22"/>
          <w:lang w:val="en-US"/>
        </w:rPr>
        <w:t xml:space="preserve">                          </w:t>
      </w:r>
      <w:r>
        <w:rPr>
          <w:rFonts w:hint="eastAsia" w:ascii="宋体" w:hAnsi="宋体"/>
          <w:b/>
          <w:color w:val="000000" w:themeColor="text1"/>
          <w:sz w:val="24"/>
        </w:rPr>
        <w:t>开户行：</w:t>
      </w:r>
    </w:p>
    <w:p>
      <w:pPr>
        <w:adjustRightInd w:val="0"/>
        <w:snapToGrid w:val="0"/>
        <w:spacing w:line="480" w:lineRule="auto"/>
        <w:rPr>
          <w:b/>
          <w:sz w:val="24"/>
        </w:rPr>
      </w:pPr>
      <w:r>
        <w:rPr>
          <w:rFonts w:hint="eastAsia" w:ascii="宋体" w:hAnsi="宋体"/>
          <w:b/>
          <w:color w:val="000000" w:themeColor="text1"/>
          <w:sz w:val="24"/>
        </w:rPr>
        <w:t>银行账号：</w:t>
      </w:r>
      <w:r>
        <w:rPr>
          <w:rFonts w:hint="default"/>
          <w:b/>
          <w:sz w:val="24"/>
          <w:lang w:val="en-US"/>
        </w:rPr>
        <w:t xml:space="preserve"> </w:t>
      </w:r>
      <w:r>
        <w:rPr>
          <w:rFonts w:hint="eastAsia" w:asciiTheme="minorEastAsia" w:hAnsiTheme="minorEastAsia"/>
          <w:b/>
          <w:sz w:val="24"/>
        </w:rPr>
        <w:t xml:space="preserve">             </w:t>
      </w:r>
      <w:r>
        <w:rPr>
          <w:rFonts w:hint="default" w:asciiTheme="minorEastAsia" w:hAnsiTheme="minorEastAsia"/>
          <w:b/>
          <w:sz w:val="24"/>
          <w:lang w:val="en-US"/>
        </w:rPr>
        <w:t xml:space="preserve">                 </w:t>
      </w:r>
      <w:r>
        <w:rPr>
          <w:rFonts w:hint="eastAsia" w:ascii="宋体" w:hAnsi="宋体"/>
          <w:b/>
          <w:color w:val="000000" w:themeColor="text1"/>
          <w:sz w:val="24"/>
        </w:rPr>
        <w:t>银行账号：</w:t>
      </w:r>
    </w:p>
    <w:p>
      <w:pPr>
        <w:spacing w:line="360" w:lineRule="auto"/>
        <w:rPr>
          <w:rFonts w:ascii="宋体" w:hAnsi="宋体"/>
          <w:b/>
          <w:color w:val="000000" w:themeColor="text1"/>
          <w:sz w:val="24"/>
        </w:rPr>
      </w:pPr>
      <w:r>
        <w:rPr>
          <w:rFonts w:hint="eastAsia" w:ascii="宋体" w:hAnsi="宋体"/>
          <w:b/>
          <w:color w:val="000000" w:themeColor="text1"/>
          <w:sz w:val="24"/>
        </w:rPr>
        <w:t>税号：</w:t>
      </w:r>
      <w:r>
        <w:rPr>
          <w:rFonts w:hint="eastAsia" w:asciiTheme="minorEastAsia" w:hAnsiTheme="minorEastAsia"/>
          <w:b/>
          <w:sz w:val="24"/>
        </w:rPr>
        <w:t xml:space="preserve">                </w:t>
      </w:r>
      <w:r>
        <w:rPr>
          <w:rFonts w:hint="default" w:asciiTheme="minorEastAsia" w:hAnsiTheme="minorEastAsia"/>
          <w:b/>
          <w:sz w:val="24"/>
          <w:lang w:val="en-US"/>
        </w:rPr>
        <w:t xml:space="preserve">                    </w:t>
      </w:r>
      <w:r>
        <w:rPr>
          <w:rFonts w:hint="eastAsia" w:ascii="宋体" w:hAnsi="宋体"/>
          <w:b/>
          <w:color w:val="000000" w:themeColor="text1"/>
          <w:sz w:val="24"/>
        </w:rPr>
        <w:t>税号：</w:t>
      </w:r>
    </w:p>
    <w:p>
      <w:pPr>
        <w:spacing w:line="360" w:lineRule="auto"/>
        <w:rPr>
          <w:rFonts w:ascii="宋体" w:hAnsi="宋体"/>
          <w:b/>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 xml:space="preserve">授权代表：                               </w:t>
      </w:r>
      <w:r>
        <w:rPr>
          <w:rFonts w:hint="default" w:ascii="宋体" w:hAnsi="宋体"/>
          <w:b/>
          <w:color w:val="000000" w:themeColor="text1"/>
          <w:sz w:val="24"/>
          <w:lang w:val="en-US"/>
        </w:rPr>
        <w:t xml:space="preserve"> </w:t>
      </w:r>
      <w:r>
        <w:rPr>
          <w:rFonts w:hint="eastAsia" w:ascii="宋体" w:hAnsi="宋体"/>
          <w:b/>
          <w:color w:val="000000" w:themeColor="text1"/>
          <w:sz w:val="24"/>
        </w:rPr>
        <w:t xml:space="preserve">授权代表： </w:t>
      </w:r>
    </w:p>
    <w:p>
      <w:pPr>
        <w:adjustRightInd w:val="0"/>
        <w:snapToGrid w:val="0"/>
        <w:spacing w:line="480" w:lineRule="auto"/>
        <w:rPr>
          <w:rFonts w:hint="default" w:ascii="宋体" w:hAnsi="宋体"/>
          <w:b/>
          <w:color w:val="000000" w:themeColor="text1"/>
          <w:sz w:val="24"/>
          <w:lang w:val="en-US"/>
        </w:rPr>
      </w:pPr>
      <w:r>
        <w:rPr>
          <w:rFonts w:hint="default" w:ascii="宋体" w:hAnsi="宋体"/>
          <w:b/>
          <w:color w:val="000000" w:themeColor="text1"/>
          <w:sz w:val="24"/>
          <w:lang w:val="en-US"/>
        </w:rPr>
        <w:t xml:space="preserve"> </w:t>
      </w:r>
    </w:p>
    <w:p>
      <w:pPr>
        <w:adjustRightInd w:val="0"/>
        <w:snapToGrid w:val="0"/>
        <w:spacing w:line="480" w:lineRule="auto"/>
        <w:rPr>
          <w:rFonts w:ascii="宋体" w:hAnsi="宋体"/>
          <w:b/>
          <w:color w:val="000000" w:themeColor="text1"/>
          <w:sz w:val="24"/>
        </w:rPr>
      </w:pPr>
      <w:r>
        <w:rPr>
          <w:rFonts w:hint="eastAsia" w:ascii="宋体" w:hAnsi="宋体"/>
          <w:b/>
          <w:color w:val="000000" w:themeColor="text1"/>
          <w:sz w:val="24"/>
        </w:rPr>
        <w:t xml:space="preserve">日期：                                   </w:t>
      </w:r>
      <w:r>
        <w:rPr>
          <w:rFonts w:hint="default" w:ascii="宋体" w:hAnsi="宋体"/>
          <w:b/>
          <w:color w:val="000000" w:themeColor="text1"/>
          <w:sz w:val="24"/>
          <w:lang w:val="en-US"/>
        </w:rPr>
        <w:t xml:space="preserve"> </w:t>
      </w:r>
      <w:r>
        <w:rPr>
          <w:rFonts w:hint="eastAsia" w:ascii="宋体" w:hAnsi="宋体"/>
          <w:b/>
          <w:color w:val="000000" w:themeColor="text1"/>
          <w:sz w:val="24"/>
        </w:rPr>
        <w:t>日期：</w:t>
      </w:r>
    </w:p>
    <w:p>
      <w:pPr>
        <w:spacing w:line="360" w:lineRule="auto"/>
        <w:rPr>
          <w:rFonts w:ascii="宋体" w:hAnsi="宋体"/>
          <w:color w:val="C00000"/>
          <w:sz w:val="24"/>
        </w:rPr>
      </w:pPr>
    </w:p>
    <w:sectPr>
      <w:headerReference r:id="rId3" w:type="default"/>
      <w:pgSz w:w="11906" w:h="16838"/>
      <w:pgMar w:top="851"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64" w:lineRule="auto"/>
      <w:ind w:firstLine="8505" w:firstLineChars="4050"/>
    </w:pPr>
    <w:r>
      <w:pict>
        <v:rect id="矩形 41" o:spid="_x0000_s4097" o:spt="1" style="position:absolute;left:0pt;height:796.95pt;width:562.85pt;mso-position-horizontal:center;mso-position-horizontal-relative:page;mso-position-vertical:center;mso-position-vertical-relative:page;z-index:251659264;v-text-anchor:middle;mso-width-relative:page;mso-height-relative:page;mso-width-percent:950;mso-height-percent:950;"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zogwIAAO0EAAAOAAAAZHJzL2Uyb0RvYy54bWysVEtu2zAQ3RfoHQjuG0mGnY8QOTAcpyjg&#10;JgGSIusxRVlCKQ5L0pbTyxTIrofocYpeo0NKzq9dFdWCmB/n8/hGp2e7VrGttK5BXfDsIOVMaoFl&#10;o9cF/3R78e6YM+dBl6BQy4LfS8fPpm/fnHYmlyOsUZXSMkqiXd6ZgtfemzxJnKhlC+4AjdTkrNC2&#10;4Em166S00FH2ViWjND1MOrSlsSikc2Q97518GvNXlRT+qqqc9EwVnHrz8bTxXIUzmZ5CvrZg6kYM&#10;bcA/dNFCo6noY6pz8MA2tvkjVdsIiw4rfyCwTbCqGiHjDDRNlr6a5qYGI+MsBI4zjzC5/5dWXG6v&#10;LWvKgo8zzjS09Ea/vn3/+eOBkYHQ6YzLKejGXNswnzNLFJ8dOZIXnqC4IWZX2TbE0nRsF6G+f4Ra&#10;7jwTZDzKxsfZyYQzQb4szUbZ6HAS6iWQ7+8b6/x7iS0LQsEtPWbEGLZL5/vQfUgop/GiUYrskCvN&#10;uoKPJuOU3lwA8apS4ElsDU3q9JozUGsirPA2pnSomjJcjzPa9WquLNsCkWaxWMwXWQxSm/Yjlr15&#10;ktI39Ov6+Nj7i0Shu3NwdX8luoYrSodCMhJ0GOYJwSCtsLynh7HYM9YZcdFQtiU4fw2WKEqD0dr5&#10;KzoqhTQtDhJnNdqvf7OHeGIOeTnriPKExJcNWMmZ+qCJUyfZeBx2JCrjydGIFPvcs3ru0Zt2jgQQ&#10;0Ya6i2KI92ovVhbbO9rOWahKLtCCaveYD8rc96tI+y3kbBbDaC8M+KW+MSIkDzgFHG93d2DNQAVP&#10;NLrE/XpA/ooRfWy4qXG28Vg1kS5PuA7spZ2Kjzbsf1ja53qMevpLTX8DAAD//wMAUEsDBBQABgAI&#10;AAAAIQAkY1PL3gAAAAcBAAAPAAAAZHJzL2Rvd25yZXYueG1sTI/BTsMwEETvSP0Ha5G4UTuFtDTE&#10;qVAREicEaQVXN16SFHsdxW6b8vW4XNrLalazmnmbLwZr2B573zqSkIwFMKTK6ZZqCevVy+0DMB8U&#10;aWUcoYQjelgUo6tcZdod6AP3ZahZDCGfKQlNCF3Gua8atMqPXYcUvW/XWxXi2tdc9+oQw63hEyGm&#10;3KqWYkOjOlw2WP2UOyshPSavNHs299378nf95r7EZ7kVUt5cD0+PwAIO4XwMJ/yIDkVk2rgdac+M&#10;hPhI+J8nL5mkM2CbqNL53Rx4kfNL/uIPAAD//wMAUEsBAi0AFAAGAAgAAAAhALaDOJL+AAAA4QEA&#10;ABMAAAAAAAAAAAAAAAAAAAAAAFtDb250ZW50X1R5cGVzXS54bWxQSwECLQAUAAYACAAAACEAOP0h&#10;/9YAAACUAQAACwAAAAAAAAAAAAAAAAAvAQAAX3JlbHMvLnJlbHNQSwECLQAUAAYACAAAACEAs4zM&#10;6IMCAADtBAAADgAAAAAAAAAAAAAAAAAuAgAAZHJzL2Uyb0RvYy54bWxQSwECLQAUAAYACAAAACEA&#10;JGNTy94AAAAHAQAADwAAAAAAAAAAAAAAAADdBAAAZHJzL2Rvd25yZXYueG1sUEsFBgAAAAAEAAQA&#10;8wAAAOgFAAAAAA==&#10;">
          <v:path arrowok="t"/>
          <v:fill on="f" focussize="0,0"/>
          <v:stroke weight="2pt" color="#948A54"/>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AA9"/>
    <w:rsid w:val="00004B93"/>
    <w:rsid w:val="00014DC3"/>
    <w:rsid w:val="00025129"/>
    <w:rsid w:val="00026DF3"/>
    <w:rsid w:val="0003435E"/>
    <w:rsid w:val="0003539D"/>
    <w:rsid w:val="00044456"/>
    <w:rsid w:val="000457DA"/>
    <w:rsid w:val="000517A5"/>
    <w:rsid w:val="0005484B"/>
    <w:rsid w:val="000608DD"/>
    <w:rsid w:val="0006208A"/>
    <w:rsid w:val="00062C96"/>
    <w:rsid w:val="0006706D"/>
    <w:rsid w:val="00074469"/>
    <w:rsid w:val="0009236E"/>
    <w:rsid w:val="00095B18"/>
    <w:rsid w:val="000A01ED"/>
    <w:rsid w:val="000E2D8D"/>
    <w:rsid w:val="000E4B48"/>
    <w:rsid w:val="000F4A9E"/>
    <w:rsid w:val="00120A1F"/>
    <w:rsid w:val="001332AF"/>
    <w:rsid w:val="00172A27"/>
    <w:rsid w:val="001804D3"/>
    <w:rsid w:val="001A5A24"/>
    <w:rsid w:val="001A6EE1"/>
    <w:rsid w:val="001A7824"/>
    <w:rsid w:val="001B6C04"/>
    <w:rsid w:val="001C6185"/>
    <w:rsid w:val="001F1604"/>
    <w:rsid w:val="001F5295"/>
    <w:rsid w:val="002056DA"/>
    <w:rsid w:val="0021070E"/>
    <w:rsid w:val="00214525"/>
    <w:rsid w:val="00227B95"/>
    <w:rsid w:val="002302F7"/>
    <w:rsid w:val="0023374F"/>
    <w:rsid w:val="0024238C"/>
    <w:rsid w:val="00243153"/>
    <w:rsid w:val="002467B9"/>
    <w:rsid w:val="00250A69"/>
    <w:rsid w:val="00252827"/>
    <w:rsid w:val="00267F0A"/>
    <w:rsid w:val="00284897"/>
    <w:rsid w:val="0029088D"/>
    <w:rsid w:val="002A0000"/>
    <w:rsid w:val="002B4625"/>
    <w:rsid w:val="002C08B0"/>
    <w:rsid w:val="002E64C1"/>
    <w:rsid w:val="002E71C8"/>
    <w:rsid w:val="002F6BB4"/>
    <w:rsid w:val="00303B3F"/>
    <w:rsid w:val="00315971"/>
    <w:rsid w:val="003224D3"/>
    <w:rsid w:val="00341CD8"/>
    <w:rsid w:val="003428CF"/>
    <w:rsid w:val="00344D78"/>
    <w:rsid w:val="0035121A"/>
    <w:rsid w:val="003572E0"/>
    <w:rsid w:val="00363A62"/>
    <w:rsid w:val="00374927"/>
    <w:rsid w:val="00381D3A"/>
    <w:rsid w:val="00391AF1"/>
    <w:rsid w:val="003938FE"/>
    <w:rsid w:val="003A6842"/>
    <w:rsid w:val="003A77F9"/>
    <w:rsid w:val="003D08C1"/>
    <w:rsid w:val="003D3A65"/>
    <w:rsid w:val="003D5CBD"/>
    <w:rsid w:val="003D6D45"/>
    <w:rsid w:val="003D79DE"/>
    <w:rsid w:val="003F3DEA"/>
    <w:rsid w:val="004043A0"/>
    <w:rsid w:val="004050EE"/>
    <w:rsid w:val="00405718"/>
    <w:rsid w:val="00411041"/>
    <w:rsid w:val="004143B0"/>
    <w:rsid w:val="00421D99"/>
    <w:rsid w:val="00445916"/>
    <w:rsid w:val="0045779D"/>
    <w:rsid w:val="00462ED0"/>
    <w:rsid w:val="004664BE"/>
    <w:rsid w:val="004725C9"/>
    <w:rsid w:val="0047606A"/>
    <w:rsid w:val="00476DC5"/>
    <w:rsid w:val="0048090F"/>
    <w:rsid w:val="00484DB4"/>
    <w:rsid w:val="004931F4"/>
    <w:rsid w:val="004B081B"/>
    <w:rsid w:val="004E4E6A"/>
    <w:rsid w:val="004F0830"/>
    <w:rsid w:val="004F26A8"/>
    <w:rsid w:val="004F378E"/>
    <w:rsid w:val="0050112D"/>
    <w:rsid w:val="00506CAB"/>
    <w:rsid w:val="005127C4"/>
    <w:rsid w:val="00514481"/>
    <w:rsid w:val="005230A7"/>
    <w:rsid w:val="005246B4"/>
    <w:rsid w:val="00525782"/>
    <w:rsid w:val="00533CB3"/>
    <w:rsid w:val="005362AA"/>
    <w:rsid w:val="005409D6"/>
    <w:rsid w:val="00554316"/>
    <w:rsid w:val="0056604C"/>
    <w:rsid w:val="005740A7"/>
    <w:rsid w:val="00583272"/>
    <w:rsid w:val="00584F10"/>
    <w:rsid w:val="005A4591"/>
    <w:rsid w:val="005C135D"/>
    <w:rsid w:val="005C2734"/>
    <w:rsid w:val="005E5656"/>
    <w:rsid w:val="005F2D00"/>
    <w:rsid w:val="006005F1"/>
    <w:rsid w:val="006008A9"/>
    <w:rsid w:val="006100F3"/>
    <w:rsid w:val="00632FA4"/>
    <w:rsid w:val="0063398D"/>
    <w:rsid w:val="0063683A"/>
    <w:rsid w:val="00646994"/>
    <w:rsid w:val="00650939"/>
    <w:rsid w:val="0065354A"/>
    <w:rsid w:val="00661257"/>
    <w:rsid w:val="00665D7D"/>
    <w:rsid w:val="0067091A"/>
    <w:rsid w:val="00683D82"/>
    <w:rsid w:val="006908DC"/>
    <w:rsid w:val="006A2146"/>
    <w:rsid w:val="006B151B"/>
    <w:rsid w:val="006D1B5C"/>
    <w:rsid w:val="006F3B0D"/>
    <w:rsid w:val="007105C7"/>
    <w:rsid w:val="00710754"/>
    <w:rsid w:val="00711CFB"/>
    <w:rsid w:val="00711D8D"/>
    <w:rsid w:val="00735585"/>
    <w:rsid w:val="00735890"/>
    <w:rsid w:val="00744AD1"/>
    <w:rsid w:val="0075683F"/>
    <w:rsid w:val="00761037"/>
    <w:rsid w:val="007666A6"/>
    <w:rsid w:val="00774610"/>
    <w:rsid w:val="0078288B"/>
    <w:rsid w:val="0079503F"/>
    <w:rsid w:val="00796147"/>
    <w:rsid w:val="007C06DB"/>
    <w:rsid w:val="007C2F3E"/>
    <w:rsid w:val="007E02D1"/>
    <w:rsid w:val="007F261A"/>
    <w:rsid w:val="007F6C8D"/>
    <w:rsid w:val="00801CBC"/>
    <w:rsid w:val="00812726"/>
    <w:rsid w:val="00824F5C"/>
    <w:rsid w:val="00835470"/>
    <w:rsid w:val="00842D58"/>
    <w:rsid w:val="00846002"/>
    <w:rsid w:val="008473CD"/>
    <w:rsid w:val="00850E6A"/>
    <w:rsid w:val="00857258"/>
    <w:rsid w:val="008638C9"/>
    <w:rsid w:val="008918AD"/>
    <w:rsid w:val="0089255A"/>
    <w:rsid w:val="00893D31"/>
    <w:rsid w:val="008A0A66"/>
    <w:rsid w:val="008B6471"/>
    <w:rsid w:val="008C3E04"/>
    <w:rsid w:val="008C5B00"/>
    <w:rsid w:val="008D1CB3"/>
    <w:rsid w:val="008D2449"/>
    <w:rsid w:val="008F18A8"/>
    <w:rsid w:val="008F4CE1"/>
    <w:rsid w:val="00911018"/>
    <w:rsid w:val="00913F88"/>
    <w:rsid w:val="0092010C"/>
    <w:rsid w:val="009277AC"/>
    <w:rsid w:val="00930640"/>
    <w:rsid w:val="00940B7F"/>
    <w:rsid w:val="00952DD2"/>
    <w:rsid w:val="00970206"/>
    <w:rsid w:val="009B6CAB"/>
    <w:rsid w:val="009B7017"/>
    <w:rsid w:val="009C18DF"/>
    <w:rsid w:val="009C32D1"/>
    <w:rsid w:val="009C3910"/>
    <w:rsid w:val="009D5F8D"/>
    <w:rsid w:val="009D64D3"/>
    <w:rsid w:val="009E3FCD"/>
    <w:rsid w:val="009E4FFE"/>
    <w:rsid w:val="009E5158"/>
    <w:rsid w:val="009E5378"/>
    <w:rsid w:val="009F1924"/>
    <w:rsid w:val="009F3813"/>
    <w:rsid w:val="00A04F00"/>
    <w:rsid w:val="00A23A3C"/>
    <w:rsid w:val="00A27773"/>
    <w:rsid w:val="00A30B75"/>
    <w:rsid w:val="00A322B1"/>
    <w:rsid w:val="00A32AA2"/>
    <w:rsid w:val="00A32B9C"/>
    <w:rsid w:val="00A37861"/>
    <w:rsid w:val="00A56A34"/>
    <w:rsid w:val="00A74291"/>
    <w:rsid w:val="00A8069A"/>
    <w:rsid w:val="00A86890"/>
    <w:rsid w:val="00AA2F0F"/>
    <w:rsid w:val="00AB56BB"/>
    <w:rsid w:val="00AE3153"/>
    <w:rsid w:val="00AF265E"/>
    <w:rsid w:val="00AF73C2"/>
    <w:rsid w:val="00B201F2"/>
    <w:rsid w:val="00B25A0E"/>
    <w:rsid w:val="00B3133D"/>
    <w:rsid w:val="00B34C94"/>
    <w:rsid w:val="00B37512"/>
    <w:rsid w:val="00B44751"/>
    <w:rsid w:val="00B5324E"/>
    <w:rsid w:val="00B57581"/>
    <w:rsid w:val="00B57E2A"/>
    <w:rsid w:val="00B60165"/>
    <w:rsid w:val="00B63441"/>
    <w:rsid w:val="00B8098E"/>
    <w:rsid w:val="00BA728C"/>
    <w:rsid w:val="00BB6197"/>
    <w:rsid w:val="00BC6079"/>
    <w:rsid w:val="00BE4265"/>
    <w:rsid w:val="00BE4F5A"/>
    <w:rsid w:val="00BF0B59"/>
    <w:rsid w:val="00BF2B6A"/>
    <w:rsid w:val="00BF6D94"/>
    <w:rsid w:val="00BF71B0"/>
    <w:rsid w:val="00C018FE"/>
    <w:rsid w:val="00C03F74"/>
    <w:rsid w:val="00C0569E"/>
    <w:rsid w:val="00C1106C"/>
    <w:rsid w:val="00C15077"/>
    <w:rsid w:val="00C1521A"/>
    <w:rsid w:val="00C253CD"/>
    <w:rsid w:val="00C2604B"/>
    <w:rsid w:val="00C2617D"/>
    <w:rsid w:val="00C429EF"/>
    <w:rsid w:val="00C53B36"/>
    <w:rsid w:val="00C751EA"/>
    <w:rsid w:val="00C91B36"/>
    <w:rsid w:val="00C943F4"/>
    <w:rsid w:val="00C965F8"/>
    <w:rsid w:val="00CA7427"/>
    <w:rsid w:val="00CB062F"/>
    <w:rsid w:val="00CC3AA5"/>
    <w:rsid w:val="00CE1D4B"/>
    <w:rsid w:val="00CE6238"/>
    <w:rsid w:val="00D16CBC"/>
    <w:rsid w:val="00D16E73"/>
    <w:rsid w:val="00D276FC"/>
    <w:rsid w:val="00D3429C"/>
    <w:rsid w:val="00D41F33"/>
    <w:rsid w:val="00D44124"/>
    <w:rsid w:val="00D45CB6"/>
    <w:rsid w:val="00D55CAD"/>
    <w:rsid w:val="00D6284D"/>
    <w:rsid w:val="00D77A79"/>
    <w:rsid w:val="00D83E8A"/>
    <w:rsid w:val="00D87D63"/>
    <w:rsid w:val="00D946E9"/>
    <w:rsid w:val="00D94C09"/>
    <w:rsid w:val="00DB349B"/>
    <w:rsid w:val="00DC2A41"/>
    <w:rsid w:val="00DD2778"/>
    <w:rsid w:val="00DD4829"/>
    <w:rsid w:val="00DE1BD0"/>
    <w:rsid w:val="00DE1C78"/>
    <w:rsid w:val="00DE598D"/>
    <w:rsid w:val="00DE6B42"/>
    <w:rsid w:val="00DE76E1"/>
    <w:rsid w:val="00DE7983"/>
    <w:rsid w:val="00E02549"/>
    <w:rsid w:val="00E07241"/>
    <w:rsid w:val="00E21E86"/>
    <w:rsid w:val="00E43BBA"/>
    <w:rsid w:val="00E51188"/>
    <w:rsid w:val="00E746FB"/>
    <w:rsid w:val="00E859D0"/>
    <w:rsid w:val="00E87ACE"/>
    <w:rsid w:val="00E92735"/>
    <w:rsid w:val="00E961F0"/>
    <w:rsid w:val="00E96E78"/>
    <w:rsid w:val="00E97FC9"/>
    <w:rsid w:val="00EA5435"/>
    <w:rsid w:val="00EB03FC"/>
    <w:rsid w:val="00EB5C59"/>
    <w:rsid w:val="00EB66F7"/>
    <w:rsid w:val="00EC01CA"/>
    <w:rsid w:val="00EC079D"/>
    <w:rsid w:val="00EC4E7D"/>
    <w:rsid w:val="00EC541D"/>
    <w:rsid w:val="00ED4A77"/>
    <w:rsid w:val="00EE37B4"/>
    <w:rsid w:val="00EF4FCB"/>
    <w:rsid w:val="00F04C1C"/>
    <w:rsid w:val="00F0603E"/>
    <w:rsid w:val="00F06734"/>
    <w:rsid w:val="00F201C6"/>
    <w:rsid w:val="00F21600"/>
    <w:rsid w:val="00F241D5"/>
    <w:rsid w:val="00F352B6"/>
    <w:rsid w:val="00F3693C"/>
    <w:rsid w:val="00F40440"/>
    <w:rsid w:val="00F47E0F"/>
    <w:rsid w:val="00F507AA"/>
    <w:rsid w:val="00F5710B"/>
    <w:rsid w:val="00F60516"/>
    <w:rsid w:val="00F608A1"/>
    <w:rsid w:val="00F60DA1"/>
    <w:rsid w:val="00F60DD2"/>
    <w:rsid w:val="00F642C1"/>
    <w:rsid w:val="00F85CE2"/>
    <w:rsid w:val="00F979E6"/>
    <w:rsid w:val="00FA1A7F"/>
    <w:rsid w:val="00FA35E0"/>
    <w:rsid w:val="00FC43F8"/>
    <w:rsid w:val="00FC53A4"/>
    <w:rsid w:val="00FE3A5F"/>
    <w:rsid w:val="00FE5EC9"/>
    <w:rsid w:val="00FE7C95"/>
    <w:rsid w:val="00FF6814"/>
    <w:rsid w:val="03D535E6"/>
    <w:rsid w:val="05DD6AAE"/>
    <w:rsid w:val="079B4543"/>
    <w:rsid w:val="0A9A04BF"/>
    <w:rsid w:val="0DBD6BC3"/>
    <w:rsid w:val="0E4874CF"/>
    <w:rsid w:val="0F58700A"/>
    <w:rsid w:val="10D65F8A"/>
    <w:rsid w:val="114E5C8A"/>
    <w:rsid w:val="17243AE8"/>
    <w:rsid w:val="19C26A19"/>
    <w:rsid w:val="1BAA74C3"/>
    <w:rsid w:val="1C0C46AB"/>
    <w:rsid w:val="200A5F1B"/>
    <w:rsid w:val="211D03E5"/>
    <w:rsid w:val="32BE0282"/>
    <w:rsid w:val="35651F6F"/>
    <w:rsid w:val="356A4516"/>
    <w:rsid w:val="35E1386D"/>
    <w:rsid w:val="3ABF5973"/>
    <w:rsid w:val="3E5672D7"/>
    <w:rsid w:val="409403B2"/>
    <w:rsid w:val="424E4248"/>
    <w:rsid w:val="45D16395"/>
    <w:rsid w:val="470C61AF"/>
    <w:rsid w:val="47A915BA"/>
    <w:rsid w:val="52B904EC"/>
    <w:rsid w:val="531A62A7"/>
    <w:rsid w:val="53220A9D"/>
    <w:rsid w:val="54D32212"/>
    <w:rsid w:val="5E9365A2"/>
    <w:rsid w:val="637226EC"/>
    <w:rsid w:val="648E6125"/>
    <w:rsid w:val="675A3264"/>
    <w:rsid w:val="683E7C05"/>
    <w:rsid w:val="68DC1244"/>
    <w:rsid w:val="6A6165A0"/>
    <w:rsid w:val="6ACB20FE"/>
    <w:rsid w:val="6D0F2CA4"/>
    <w:rsid w:val="6D283B8D"/>
    <w:rsid w:val="6E1E1F08"/>
    <w:rsid w:val="786575A2"/>
    <w:rsid w:val="7A6A64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77EFF-E250-4654-9B2B-E54E78A6CDF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659</Words>
  <Characters>3757</Characters>
  <Lines>31</Lines>
  <Paragraphs>8</Paragraphs>
  <TotalTime>0</TotalTime>
  <ScaleCrop>false</ScaleCrop>
  <LinksUpToDate>false</LinksUpToDate>
  <CharactersWithSpaces>4408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2015-12-27T08:20:00Z</dcterms:created>
  <dc:creator>雨林木风</dc:creator>
  <cp:lastModifiedBy>田友军</cp:lastModifiedBy>
  <cp:lastPrinted>2019-04-28T03:11:00Z</cp:lastPrinted>
  <dcterms:modified xsi:type="dcterms:W3CDTF">2022-02-17T08:09:22Z</dcterms:modified>
  <dc:title>物流运输合同</dc:title>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1A55ABAF821F49718E8EDB202633D099</vt:lpwstr>
  </property>
</Properties>
</file>