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长春光华荣昌汽车部件有限公司</w:t>
      </w:r>
    </w:p>
    <w:p>
      <w:pPr>
        <w:jc w:val="center"/>
        <w:rPr>
          <w:rFonts w:hint="eastAsia"/>
          <w:lang w:val="en-US" w:eastAsia="zh-CN"/>
        </w:rPr>
      </w:pPr>
      <w:r>
        <w:rPr>
          <w:rFonts w:hint="eastAsia"/>
          <w:b/>
          <w:bCs/>
          <w:sz w:val="32"/>
          <w:szCs w:val="32"/>
          <w:lang w:val="en-US" w:eastAsia="zh-CN"/>
        </w:rPr>
        <w:t>高速增长情况说明</w:t>
      </w:r>
    </w:p>
    <w:p>
      <w:pPr>
        <w:ind w:firstLine="560" w:firstLineChars="200"/>
        <w:rPr>
          <w:rFonts w:hint="eastAsia"/>
          <w:sz w:val="32"/>
          <w:szCs w:val="32"/>
          <w:lang w:val="en-US" w:eastAsia="zh-CN"/>
        </w:rPr>
      </w:pPr>
      <w:r>
        <w:rPr>
          <w:rFonts w:hint="eastAsia"/>
          <w:sz w:val="28"/>
          <w:szCs w:val="28"/>
          <w:lang w:val="en-US" w:eastAsia="zh-CN"/>
        </w:rPr>
        <w:t>长春光华荣昌汽车部件有限公司为北京光华荣昌汽车部件有限公司全资子公司（以下</w:t>
      </w:r>
      <w:r>
        <w:rPr>
          <w:rFonts w:hint="eastAsia"/>
          <w:color w:val="auto"/>
          <w:sz w:val="28"/>
          <w:szCs w:val="28"/>
          <w:lang w:val="en-US" w:eastAsia="zh-CN"/>
        </w:rPr>
        <w:t>统称集团公司），因集团公司对长春汽车座椅零部件市场前景抱有极大地信心，故在20年-21年我公司对座椅生产线进行升级改造，并对一线员工及生产相关管理人员进行质量生产培训，打</w:t>
      </w:r>
      <w:r>
        <w:rPr>
          <w:rFonts w:hint="eastAsia"/>
          <w:sz w:val="28"/>
          <w:szCs w:val="28"/>
          <w:lang w:val="en-US" w:eastAsia="zh-CN"/>
        </w:rPr>
        <w:t>造全能技能员工，进一步升级产品质量和生产效率，在产线和员工整装待发之际，座椅市场及社会大环境遭逢巨变，销量未如预期计划，未升反降，面对如此全新升级的生产线，面对情绪饱满热情的员工，面对如此优越的办公环境，但却不能全天开工，产线和工人常常处于闲置状态，集团公司决定不能让长春工厂闲置浪费良好资源，遂经上会决议，将产品的部分生产转给长春组装生产，再进行销售，从21年6月始开展此项业务，所以2022年1、2月同比2021年1、2月产值增长过高。</w:t>
      </w:r>
    </w:p>
    <w:p>
      <w:pPr>
        <w:ind w:firstLine="420" w:firstLineChars="200"/>
        <w:rPr>
          <w:rFonts w:hint="eastAsia"/>
          <w:lang w:val="en-US" w:eastAsia="zh-CN"/>
        </w:rPr>
      </w:pPr>
    </w:p>
    <w:tbl>
      <w:tblPr>
        <w:tblStyle w:val="3"/>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7"/>
        <w:gridCol w:w="3128"/>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77" w:type="dxa"/>
            <w:vAlign w:val="center"/>
          </w:tcPr>
          <w:p>
            <w:pPr>
              <w:jc w:val="center"/>
              <w:rPr>
                <w:rFonts w:hint="default"/>
                <w:b w:val="0"/>
                <w:bCs w:val="0"/>
                <w:vertAlign w:val="baseline"/>
                <w:lang w:val="en-US" w:eastAsia="zh-CN"/>
              </w:rPr>
            </w:pPr>
            <w:r>
              <w:rPr>
                <w:rFonts w:hint="eastAsia"/>
                <w:b w:val="0"/>
                <w:bCs w:val="0"/>
                <w:vertAlign w:val="baseline"/>
                <w:lang w:val="en-US" w:eastAsia="zh-CN"/>
              </w:rPr>
              <w:t>年份\项目</w:t>
            </w:r>
          </w:p>
        </w:tc>
        <w:tc>
          <w:tcPr>
            <w:tcW w:w="3128" w:type="dxa"/>
            <w:vAlign w:val="center"/>
          </w:tcPr>
          <w:p>
            <w:pPr>
              <w:jc w:val="center"/>
              <w:rPr>
                <w:rFonts w:hint="default"/>
                <w:b w:val="0"/>
                <w:bCs w:val="0"/>
                <w:vertAlign w:val="baseline"/>
                <w:lang w:val="en-US" w:eastAsia="zh-CN"/>
              </w:rPr>
            </w:pPr>
            <w:r>
              <w:rPr>
                <w:rFonts w:hint="eastAsia"/>
                <w:b w:val="0"/>
                <w:bCs w:val="0"/>
                <w:vertAlign w:val="baseline"/>
                <w:lang w:val="en-US" w:eastAsia="zh-CN"/>
              </w:rPr>
              <w:t>营业收入（万元）</w:t>
            </w:r>
          </w:p>
        </w:tc>
        <w:tc>
          <w:tcPr>
            <w:tcW w:w="2533" w:type="dxa"/>
            <w:vAlign w:val="center"/>
          </w:tcPr>
          <w:p>
            <w:pPr>
              <w:jc w:val="center"/>
              <w:rPr>
                <w:rFonts w:hint="default"/>
                <w:b w:val="0"/>
                <w:bCs w:val="0"/>
                <w:vertAlign w:val="baseline"/>
                <w:lang w:val="en-US" w:eastAsia="zh-CN"/>
              </w:rPr>
            </w:pPr>
            <w:r>
              <w:rPr>
                <w:rFonts w:hint="eastAsia"/>
                <w:b w:val="0"/>
                <w:bCs w:val="0"/>
                <w:vertAlign w:val="baseline"/>
                <w:lang w:val="en-US" w:eastAsia="zh-CN"/>
              </w:rPr>
              <w:t>产值（万元）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77" w:type="dxa"/>
            <w:vAlign w:val="center"/>
          </w:tcPr>
          <w:p>
            <w:pPr>
              <w:jc w:val="center"/>
              <w:rPr>
                <w:rFonts w:hint="default"/>
                <w:b w:val="0"/>
                <w:bCs w:val="0"/>
                <w:vertAlign w:val="baseline"/>
                <w:lang w:val="en-US" w:eastAsia="zh-CN"/>
              </w:rPr>
            </w:pPr>
            <w:r>
              <w:rPr>
                <w:rFonts w:hint="eastAsia"/>
                <w:b w:val="0"/>
                <w:bCs w:val="0"/>
                <w:vertAlign w:val="baseline"/>
                <w:lang w:val="en-US" w:eastAsia="zh-CN"/>
              </w:rPr>
              <w:t>2021年1月</w:t>
            </w:r>
          </w:p>
        </w:tc>
        <w:tc>
          <w:tcPr>
            <w:tcW w:w="3128" w:type="dxa"/>
            <w:vAlign w:val="center"/>
          </w:tcPr>
          <w:p>
            <w:pPr>
              <w:jc w:val="center"/>
              <w:rPr>
                <w:rFonts w:hint="default"/>
                <w:b w:val="0"/>
                <w:bCs w:val="0"/>
                <w:vertAlign w:val="baseline"/>
                <w:lang w:val="en-US" w:eastAsia="zh-CN"/>
              </w:rPr>
            </w:pPr>
            <w:r>
              <w:rPr>
                <w:rFonts w:hint="eastAsia"/>
                <w:b w:val="0"/>
                <w:bCs w:val="0"/>
                <w:vertAlign w:val="baseline"/>
                <w:lang w:val="en-US" w:eastAsia="zh-CN"/>
              </w:rPr>
              <w:t>11.4</w:t>
            </w:r>
          </w:p>
        </w:tc>
        <w:tc>
          <w:tcPr>
            <w:tcW w:w="2533" w:type="dxa"/>
            <w:vAlign w:val="center"/>
          </w:tcPr>
          <w:p>
            <w:pPr>
              <w:jc w:val="center"/>
              <w:rPr>
                <w:rFonts w:hint="default"/>
                <w:b w:val="0"/>
                <w:bCs w:val="0"/>
                <w:vertAlign w:val="baseline"/>
                <w:lang w:val="en-US" w:eastAsia="zh-CN"/>
              </w:rPr>
            </w:pPr>
            <w:r>
              <w:rPr>
                <w:rFonts w:hint="eastAsia"/>
                <w:b w:val="0"/>
                <w:bCs w:val="0"/>
                <w:vertAlign w:val="baseline"/>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77" w:type="dxa"/>
            <w:vAlign w:val="center"/>
          </w:tcPr>
          <w:p>
            <w:pPr>
              <w:jc w:val="center"/>
              <w:rPr>
                <w:rFonts w:hint="default"/>
                <w:b w:val="0"/>
                <w:bCs w:val="0"/>
                <w:vertAlign w:val="baseline"/>
                <w:lang w:val="en-US" w:eastAsia="zh-CN"/>
              </w:rPr>
            </w:pPr>
            <w:r>
              <w:rPr>
                <w:rFonts w:hint="eastAsia"/>
                <w:b w:val="0"/>
                <w:bCs w:val="0"/>
                <w:vertAlign w:val="baseline"/>
                <w:lang w:val="en-US" w:eastAsia="zh-CN"/>
              </w:rPr>
              <w:t>2022年1月</w:t>
            </w:r>
          </w:p>
        </w:tc>
        <w:tc>
          <w:tcPr>
            <w:tcW w:w="3128" w:type="dxa"/>
            <w:vAlign w:val="center"/>
          </w:tcPr>
          <w:p>
            <w:pPr>
              <w:jc w:val="center"/>
              <w:rPr>
                <w:rFonts w:hint="default"/>
                <w:b w:val="0"/>
                <w:bCs w:val="0"/>
                <w:vertAlign w:val="baseline"/>
                <w:lang w:val="en-US" w:eastAsia="zh-CN"/>
              </w:rPr>
            </w:pPr>
            <w:r>
              <w:rPr>
                <w:rFonts w:hint="eastAsia"/>
                <w:b w:val="0"/>
                <w:bCs w:val="0"/>
                <w:vertAlign w:val="baseline"/>
                <w:lang w:val="en-US" w:eastAsia="zh-CN"/>
              </w:rPr>
              <w:t>1394</w:t>
            </w:r>
          </w:p>
        </w:tc>
        <w:tc>
          <w:tcPr>
            <w:tcW w:w="2533" w:type="dxa"/>
            <w:vAlign w:val="center"/>
          </w:tcPr>
          <w:p>
            <w:pPr>
              <w:jc w:val="center"/>
              <w:rPr>
                <w:rFonts w:hint="default"/>
                <w:b w:val="0"/>
                <w:bCs w:val="0"/>
                <w:vertAlign w:val="baseline"/>
                <w:lang w:val="en-US" w:eastAsia="zh-CN"/>
              </w:rPr>
            </w:pPr>
            <w:r>
              <w:rPr>
                <w:rFonts w:hint="eastAsia"/>
                <w:b w:val="0"/>
                <w:bCs w:val="0"/>
                <w:vertAlign w:val="baseline"/>
                <w:lang w:val="en-US" w:eastAsia="zh-CN"/>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77" w:type="dxa"/>
            <w:vAlign w:val="center"/>
          </w:tcPr>
          <w:p>
            <w:pPr>
              <w:jc w:val="center"/>
              <w:rPr>
                <w:rFonts w:hint="default"/>
                <w:b w:val="0"/>
                <w:bCs w:val="0"/>
                <w:vertAlign w:val="baseline"/>
                <w:lang w:val="en-US" w:eastAsia="zh-CN"/>
              </w:rPr>
            </w:pPr>
            <w:r>
              <w:rPr>
                <w:rFonts w:hint="eastAsia"/>
                <w:b w:val="0"/>
                <w:bCs w:val="0"/>
                <w:vertAlign w:val="baseline"/>
                <w:lang w:val="en-US" w:eastAsia="zh-CN"/>
              </w:rPr>
              <w:t>2021年2月</w:t>
            </w:r>
          </w:p>
        </w:tc>
        <w:tc>
          <w:tcPr>
            <w:tcW w:w="3128" w:type="dxa"/>
            <w:vAlign w:val="center"/>
          </w:tcPr>
          <w:p>
            <w:pPr>
              <w:jc w:val="center"/>
              <w:rPr>
                <w:rFonts w:hint="default"/>
                <w:b w:val="0"/>
                <w:bCs w:val="0"/>
                <w:vertAlign w:val="baseline"/>
                <w:lang w:val="en-US" w:eastAsia="zh-CN"/>
              </w:rPr>
            </w:pPr>
            <w:r>
              <w:rPr>
                <w:rFonts w:hint="eastAsia"/>
                <w:b w:val="0"/>
                <w:bCs w:val="0"/>
                <w:vertAlign w:val="baseline"/>
                <w:lang w:val="en-US" w:eastAsia="zh-CN"/>
              </w:rPr>
              <w:t>2.27</w:t>
            </w:r>
          </w:p>
        </w:tc>
        <w:tc>
          <w:tcPr>
            <w:tcW w:w="2533" w:type="dxa"/>
            <w:vAlign w:val="center"/>
          </w:tcPr>
          <w:p>
            <w:pPr>
              <w:jc w:val="center"/>
              <w:rPr>
                <w:rFonts w:hint="default"/>
                <w:b w:val="0"/>
                <w:bCs w:val="0"/>
                <w:vertAlign w:val="baseline"/>
                <w:lang w:val="en-US" w:eastAsia="zh-CN"/>
              </w:rPr>
            </w:pPr>
            <w:r>
              <w:rPr>
                <w:rFonts w:hint="eastAsia"/>
                <w:b w:val="0"/>
                <w:bCs w:val="0"/>
                <w:vertAlign w:val="baseline"/>
                <w:lang w:val="en-US" w:eastAsia="zh-CN"/>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7" w:type="dxa"/>
            <w:vAlign w:val="center"/>
          </w:tcPr>
          <w:p>
            <w:pPr>
              <w:jc w:val="center"/>
              <w:rPr>
                <w:rFonts w:hint="default"/>
                <w:b w:val="0"/>
                <w:bCs w:val="0"/>
                <w:vertAlign w:val="baseline"/>
                <w:lang w:val="en-US" w:eastAsia="zh-CN"/>
              </w:rPr>
            </w:pPr>
            <w:r>
              <w:rPr>
                <w:rFonts w:hint="eastAsia"/>
                <w:b w:val="0"/>
                <w:bCs w:val="0"/>
                <w:vertAlign w:val="baseline"/>
                <w:lang w:val="en-US" w:eastAsia="zh-CN"/>
              </w:rPr>
              <w:t>2022年2月</w:t>
            </w:r>
          </w:p>
        </w:tc>
        <w:tc>
          <w:tcPr>
            <w:tcW w:w="3128" w:type="dxa"/>
            <w:vAlign w:val="center"/>
          </w:tcPr>
          <w:p>
            <w:pPr>
              <w:jc w:val="center"/>
              <w:rPr>
                <w:rFonts w:hint="default"/>
                <w:b w:val="0"/>
                <w:bCs w:val="0"/>
                <w:vertAlign w:val="baseline"/>
                <w:lang w:val="en-US" w:eastAsia="zh-CN"/>
              </w:rPr>
            </w:pPr>
            <w:r>
              <w:rPr>
                <w:rFonts w:hint="eastAsia"/>
                <w:b w:val="0"/>
                <w:bCs w:val="0"/>
                <w:vertAlign w:val="baseline"/>
                <w:lang w:val="en-US" w:eastAsia="zh-CN"/>
              </w:rPr>
              <w:t>1220</w:t>
            </w:r>
          </w:p>
        </w:tc>
        <w:tc>
          <w:tcPr>
            <w:tcW w:w="2533" w:type="dxa"/>
            <w:vAlign w:val="center"/>
          </w:tcPr>
          <w:p>
            <w:pPr>
              <w:jc w:val="center"/>
              <w:rPr>
                <w:rFonts w:hint="default"/>
                <w:b w:val="0"/>
                <w:bCs w:val="0"/>
                <w:vertAlign w:val="baseline"/>
                <w:lang w:val="en-US" w:eastAsia="zh-CN"/>
              </w:rPr>
            </w:pPr>
            <w:r>
              <w:rPr>
                <w:rFonts w:hint="eastAsia"/>
                <w:b w:val="0"/>
                <w:bCs w:val="0"/>
                <w:vertAlign w:val="baseline"/>
                <w:lang w:val="en-US" w:eastAsia="zh-CN"/>
              </w:rPr>
              <w:t>1216</w:t>
            </w:r>
          </w:p>
        </w:tc>
      </w:tr>
    </w:tbl>
    <w:p>
      <w:pPr>
        <w:ind w:firstLine="560" w:firstLineChars="200"/>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特此说明！</w:t>
      </w:r>
    </w:p>
    <w:p>
      <w:pPr>
        <w:ind w:firstLine="560" w:firstLineChars="200"/>
        <w:rPr>
          <w:rFonts w:hint="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   </w:t>
      </w:r>
      <w:r>
        <w:rPr>
          <w:rFonts w:hint="eastAsia"/>
          <w:lang w:val="en-US" w:eastAsia="zh-CN"/>
        </w:rPr>
        <w:t xml:space="preserve">                   </w:t>
      </w:r>
      <w:r>
        <w:rPr>
          <w:rFonts w:hint="eastAsia"/>
          <w:sz w:val="28"/>
          <w:szCs w:val="28"/>
          <w:lang w:val="en-US" w:eastAsia="zh-CN"/>
        </w:rPr>
        <w:t xml:space="preserve">  长春光华荣昌汽车部件有限公司</w:t>
      </w:r>
    </w:p>
    <w:p>
      <w:pPr>
        <w:ind w:firstLine="560" w:firstLineChars="200"/>
        <w:rPr>
          <w:rFonts w:hint="default"/>
          <w:sz w:val="28"/>
          <w:szCs w:val="28"/>
          <w:lang w:val="en-US" w:eastAsia="zh-CN"/>
        </w:rPr>
      </w:pPr>
      <w:r>
        <w:rPr>
          <w:rFonts w:hint="eastAsia"/>
          <w:sz w:val="28"/>
          <w:szCs w:val="28"/>
          <w:lang w:val="en-US" w:eastAsia="zh-CN"/>
        </w:rPr>
        <w:t xml:space="preserve">                                    2022年03月10日</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B7D24"/>
    <w:rsid w:val="14191E7C"/>
    <w:rsid w:val="26EA1FC3"/>
    <w:rsid w:val="49D15D74"/>
    <w:rsid w:val="4BC52D55"/>
    <w:rsid w:val="4DAF7E58"/>
    <w:rsid w:val="573D22F9"/>
    <w:rsid w:val="58C3151D"/>
    <w:rsid w:val="726D6A77"/>
    <w:rsid w:val="7E87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2022-03-10T00:32:00Z</dcterms:created>
  <dc:creator>NING MEI</dc:creator>
  <cp:lastModifiedBy>Administrator</cp:lastModifiedBy>
  <cp:lastPrinted>2022-03-10T04:15:58Z</cp:lastPrinted>
  <dcterms:modified xsi:type="dcterms:W3CDTF">2022-03-10T04:33:09Z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74056922D0F34041A9DE929275E5EE90</vt:lpwstr>
  </property>
</Properties>
</file>