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outlineLvl w:val="0"/>
        <w:rPr>
          <w:rFonts w:asciiTheme="minorEastAsia" w:hAnsiTheme="minorEastAsia"/>
          <w:color w:val="000000"/>
          <w:sz w:val="28"/>
          <w:szCs w:val="28"/>
        </w:rPr>
      </w:pPr>
      <w:r>
        <w:rPr>
          <w:rFonts w:hint="eastAsia" w:asciiTheme="minorEastAsia" w:hAnsiTheme="minorEastAsia"/>
          <w:color w:val="000000"/>
          <w:sz w:val="28"/>
          <w:szCs w:val="28"/>
        </w:rPr>
        <w:t>附表1</w:t>
      </w:r>
    </w:p>
    <w:p>
      <w:pPr>
        <w:snapToGrid w:val="0"/>
        <w:jc w:val="center"/>
        <w:outlineLvl w:val="0"/>
        <w:rPr>
          <w:rFonts w:asciiTheme="minorEastAsia" w:hAnsiTheme="minorEastAsia"/>
          <w:b/>
          <w:color w:val="000000"/>
          <w:sz w:val="32"/>
          <w:szCs w:val="32"/>
        </w:rPr>
      </w:pPr>
      <w:r>
        <w:rPr>
          <w:rFonts w:hint="eastAsia" w:asciiTheme="minorEastAsia" w:hAnsiTheme="minorEastAsia"/>
          <w:b/>
          <w:color w:val="000000"/>
          <w:sz w:val="32"/>
          <w:szCs w:val="32"/>
        </w:rPr>
        <w:t>安全生产标准化评审否决项检查表</w:t>
      </w:r>
    </w:p>
    <w:p>
      <w:pPr>
        <w:snapToGrid w:val="0"/>
        <w:jc w:val="center"/>
        <w:outlineLvl w:val="0"/>
        <w:rPr>
          <w:rFonts w:asciiTheme="minorEastAsia" w:hAnsiTheme="minorEastAsia"/>
          <w:color w:val="000000"/>
          <w:sz w:val="28"/>
          <w:szCs w:val="28"/>
        </w:rPr>
      </w:pPr>
      <w:r>
        <w:rPr>
          <w:rFonts w:hint="eastAsia" w:asciiTheme="minorEastAsia" w:hAnsiTheme="minorEastAsia"/>
          <w:color w:val="000000"/>
          <w:sz w:val="28"/>
          <w:szCs w:val="28"/>
        </w:rPr>
        <w:t>（专项工作否决项）</w:t>
      </w:r>
    </w:p>
    <w:tbl>
      <w:tblPr>
        <w:tblStyle w:val="4"/>
        <w:tblW w:w="137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6"/>
        <w:gridCol w:w="4874"/>
        <w:gridCol w:w="788"/>
        <w:gridCol w:w="834"/>
        <w:gridCol w:w="3070"/>
        <w:gridCol w:w="22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8"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序号</w:t>
            </w:r>
          </w:p>
        </w:tc>
        <w:tc>
          <w:tcPr>
            <w:tcW w:w="1256"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分类</w:t>
            </w:r>
          </w:p>
        </w:tc>
        <w:tc>
          <w:tcPr>
            <w:tcW w:w="4874"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szCs w:val="21"/>
              </w:rPr>
            </w:pPr>
            <w:r>
              <w:rPr>
                <w:rFonts w:hint="eastAsia" w:ascii="Times New Roman" w:hAnsi="Times New Roman" w:eastAsia="宋体" w:cs="Times New Roman"/>
                <w:b/>
                <w:bCs/>
                <w:color w:val="000000"/>
                <w:szCs w:val="21"/>
              </w:rPr>
              <w:t>否决</w:t>
            </w:r>
            <w:r>
              <w:rPr>
                <w:rFonts w:ascii="Times New Roman" w:hAnsi="Times New Roman" w:eastAsia="宋体" w:cs="Times New Roman"/>
                <w:b/>
                <w:bCs/>
                <w:color w:val="000000"/>
                <w:szCs w:val="21"/>
              </w:rPr>
              <w:t>内容</w:t>
            </w:r>
          </w:p>
        </w:tc>
        <w:tc>
          <w:tcPr>
            <w:tcW w:w="788" w:type="dxa"/>
            <w:tcBorders>
              <w:top w:val="single" w:color="auto" w:sz="4" w:space="0"/>
              <w:bottom w:val="single" w:color="auto" w:sz="4" w:space="0"/>
            </w:tcBorders>
          </w:tcPr>
          <w:p>
            <w:pPr>
              <w:adjustRightInd w:val="0"/>
              <w:snapToGrid w:val="0"/>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二级否决</w:t>
            </w:r>
          </w:p>
        </w:tc>
        <w:tc>
          <w:tcPr>
            <w:tcW w:w="834" w:type="dxa"/>
            <w:tcBorders>
              <w:top w:val="single" w:color="auto" w:sz="4" w:space="0"/>
              <w:bottom w:val="single" w:color="auto" w:sz="4" w:space="0"/>
            </w:tcBorders>
          </w:tcPr>
          <w:p>
            <w:pPr>
              <w:adjustRightInd w:val="0"/>
              <w:snapToGrid w:val="0"/>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三级否决</w:t>
            </w:r>
          </w:p>
        </w:tc>
        <w:tc>
          <w:tcPr>
            <w:tcW w:w="3070"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szCs w:val="21"/>
              </w:rPr>
            </w:pPr>
            <w:r>
              <w:rPr>
                <w:rFonts w:ascii="Times New Roman" w:hAnsi="Times New Roman" w:eastAsia="宋体" w:cs="Times New Roman"/>
                <w:b/>
                <w:bCs/>
                <w:color w:val="000000"/>
                <w:szCs w:val="21"/>
              </w:rPr>
              <w:t>评</w:t>
            </w:r>
            <w:r>
              <w:rPr>
                <w:rFonts w:hint="eastAsia" w:ascii="Times New Roman" w:hAnsi="Times New Roman" w:eastAsia="宋体" w:cs="Times New Roman"/>
                <w:b/>
                <w:bCs/>
                <w:color w:val="000000"/>
                <w:szCs w:val="21"/>
              </w:rPr>
              <w:t>审</w:t>
            </w:r>
            <w:r>
              <w:rPr>
                <w:rFonts w:ascii="Times New Roman" w:hAnsi="Times New Roman" w:eastAsia="宋体" w:cs="Times New Roman"/>
                <w:b/>
                <w:bCs/>
                <w:color w:val="000000"/>
                <w:szCs w:val="21"/>
              </w:rPr>
              <w:t>情况</w:t>
            </w:r>
          </w:p>
        </w:tc>
        <w:tc>
          <w:tcPr>
            <w:tcW w:w="2228"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是否通过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 xml:space="preserve">  1</w:t>
            </w:r>
          </w:p>
        </w:tc>
        <w:tc>
          <w:tcPr>
            <w:tcW w:w="1256"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危险化学品经营企业</w:t>
            </w:r>
          </w:p>
        </w:tc>
        <w:tc>
          <w:tcPr>
            <w:tcW w:w="4874"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1.涉及可燃和有毒有害气体泄漏的场所按照国家标准设置检测报警装置，爆炸危险场所按照国家标准安装使用防爆电气设备。</w:t>
            </w:r>
          </w:p>
        </w:tc>
        <w:tc>
          <w:tcPr>
            <w:tcW w:w="788"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不涉及</w:t>
            </w:r>
          </w:p>
        </w:tc>
        <w:tc>
          <w:tcPr>
            <w:tcW w:w="2228" w:type="dxa"/>
            <w:tcBorders>
              <w:top w:val="single" w:color="auto" w:sz="4" w:space="0"/>
              <w:bottom w:val="single" w:color="auto" w:sz="4"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 xml:space="preserve">  2</w:t>
            </w:r>
          </w:p>
        </w:tc>
        <w:tc>
          <w:tcPr>
            <w:tcW w:w="1256" w:type="dxa"/>
            <w:tcBorders>
              <w:top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油库</w:t>
            </w:r>
          </w:p>
        </w:tc>
        <w:tc>
          <w:tcPr>
            <w:tcW w:w="4874" w:type="dxa"/>
            <w:tcBorders>
              <w:top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1.构成一级、二级重大危险源的危险化学品罐区实现紧急切断功能；涉及毒性气体、液化气体、剧毒液体的一级、二级重大危险源的危险化学品罐区配备独立的安全仪表系统。</w:t>
            </w:r>
          </w:p>
        </w:tc>
        <w:tc>
          <w:tcPr>
            <w:tcW w:w="788" w:type="dxa"/>
            <w:tcBorders>
              <w:top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256" w:type="dxa"/>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金属非金属矿山（地下、露天）</w:t>
            </w: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1.企业建立</w:t>
            </w:r>
            <w:r>
              <w:rPr>
                <w:rFonts w:ascii="Times New Roman" w:hAnsi="Times New Roman" w:eastAsia="宋体" w:cs="Times New Roman"/>
                <w:szCs w:val="21"/>
              </w:rPr>
              <w:t>完善安全生产风险分级管控和隐患排查治理双重预防机制</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2.评审年度内发生生产安全死亡事故，或2人以上重伤事故。</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3.评审年度内发生生产安全死亡事故，或3人以上重伤事故。</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256" w:type="dxa"/>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尾矿库</w:t>
            </w:r>
          </w:p>
        </w:tc>
        <w:tc>
          <w:tcPr>
            <w:tcW w:w="4874" w:type="dxa"/>
            <w:tcBorders>
              <w:top w:val="single" w:color="auto" w:sz="4" w:space="0"/>
              <w:left w:val="single" w:color="auto" w:sz="4" w:space="0"/>
              <w:bottom w:val="single" w:color="auto" w:sz="8" w:space="0"/>
              <w:right w:val="single" w:color="auto" w:sz="4" w:space="0"/>
            </w:tcBorders>
            <w:vAlign w:val="center"/>
          </w:tcPr>
          <w:p>
            <w:pPr>
              <w:spacing w:line="560" w:lineRule="exact"/>
              <w:rPr>
                <w:rFonts w:ascii="Times New Roman" w:hAnsi="Times New Roman" w:eastAsia="宋体" w:cs="Times New Roman"/>
                <w:szCs w:val="21"/>
              </w:rPr>
            </w:pPr>
            <w:r>
              <w:rPr>
                <w:rFonts w:hint="eastAsia" w:ascii="Times New Roman" w:hAnsi="Times New Roman" w:eastAsia="宋体" w:cs="Times New Roman"/>
                <w:szCs w:val="21"/>
              </w:rPr>
              <w:t>1.未使用在线监测系统。</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spacing w:line="560" w:lineRule="exact"/>
              <w:rPr>
                <w:rFonts w:ascii="Times New Roman" w:hAnsi="Times New Roman" w:eastAsia="宋体" w:cs="Times New Roman"/>
                <w:szCs w:val="21"/>
              </w:rPr>
            </w:pPr>
            <w:r>
              <w:rPr>
                <w:rFonts w:hint="eastAsia" w:ascii="Times New Roman" w:hAnsi="Times New Roman" w:eastAsia="宋体" w:cs="Times New Roman"/>
                <w:szCs w:val="21"/>
              </w:rPr>
              <w:t>2.在评审年度内发生重伤及以上生产安全事故。</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256" w:type="dxa"/>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金属非金属矿产资源勘查单位、石油天然气技术服务企业</w:t>
            </w: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评审年度内发生</w:t>
            </w:r>
            <w:r>
              <w:rPr>
                <w:rFonts w:hint="eastAsia" w:ascii="Times New Roman" w:hAnsi="Times New Roman" w:eastAsia="宋体" w:cs="Times New Roman"/>
                <w:szCs w:val="21"/>
              </w:rPr>
              <w:t>重伤及以上</w:t>
            </w:r>
            <w:r>
              <w:rPr>
                <w:rFonts w:ascii="Times New Roman" w:hAnsi="Times New Roman" w:eastAsia="宋体" w:cs="Times New Roman"/>
                <w:szCs w:val="21"/>
              </w:rPr>
              <w:t>生产</w:t>
            </w:r>
            <w:r>
              <w:rPr>
                <w:rFonts w:hint="eastAsia" w:ascii="Times New Roman" w:hAnsi="Times New Roman" w:eastAsia="宋体" w:cs="Times New Roman"/>
                <w:szCs w:val="21"/>
              </w:rPr>
              <w:t>安全</w:t>
            </w:r>
            <w:r>
              <w:rPr>
                <w:rFonts w:ascii="Times New Roman" w:hAnsi="Times New Roman" w:eastAsia="宋体" w:cs="Times New Roman"/>
                <w:szCs w:val="21"/>
              </w:rPr>
              <w:t>事故</w:t>
            </w:r>
            <w:r>
              <w:rPr>
                <w:rFonts w:hint="eastAsia" w:ascii="Times New Roman" w:hAnsi="Times New Roman" w:eastAsia="宋体" w:cs="Times New Roman"/>
                <w:szCs w:val="21"/>
              </w:rPr>
              <w:t>，或</w:t>
            </w:r>
            <w:r>
              <w:rPr>
                <w:rFonts w:ascii="Times New Roman" w:hAnsi="Times New Roman" w:eastAsia="宋体" w:cs="Times New Roman"/>
                <w:szCs w:val="21"/>
              </w:rPr>
              <w:t>造成</w:t>
            </w:r>
            <w:r>
              <w:rPr>
                <w:rFonts w:hint="eastAsia" w:ascii="Times New Roman" w:hAnsi="Times New Roman" w:eastAsia="宋体" w:cs="Times New Roman"/>
                <w:szCs w:val="21"/>
              </w:rPr>
              <w:t>2人以上轻</w:t>
            </w:r>
            <w:r>
              <w:rPr>
                <w:rFonts w:ascii="Times New Roman" w:hAnsi="Times New Roman" w:eastAsia="宋体" w:cs="Times New Roman"/>
                <w:szCs w:val="21"/>
              </w:rPr>
              <w:t>伤</w:t>
            </w:r>
            <w:r>
              <w:rPr>
                <w:rFonts w:hint="eastAsia" w:ascii="Times New Roman" w:hAnsi="Times New Roman" w:eastAsia="宋体" w:cs="Times New Roman"/>
                <w:szCs w:val="21"/>
              </w:rPr>
              <w:t>事故</w:t>
            </w:r>
            <w:r>
              <w:rPr>
                <w:rFonts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 xml:space="preserve"> 评审年度内发生</w:t>
            </w:r>
            <w:r>
              <w:rPr>
                <w:rFonts w:hint="eastAsia" w:ascii="Times New Roman" w:hAnsi="Times New Roman" w:eastAsia="宋体" w:cs="Times New Roman"/>
                <w:szCs w:val="21"/>
              </w:rPr>
              <w:t>重伤及以上</w:t>
            </w:r>
            <w:r>
              <w:rPr>
                <w:rFonts w:ascii="Times New Roman" w:hAnsi="Times New Roman" w:eastAsia="宋体" w:cs="Times New Roman"/>
                <w:szCs w:val="21"/>
              </w:rPr>
              <w:t>生产</w:t>
            </w:r>
            <w:r>
              <w:rPr>
                <w:rFonts w:hint="eastAsia" w:ascii="Times New Roman" w:hAnsi="Times New Roman" w:eastAsia="宋体" w:cs="Times New Roman"/>
                <w:szCs w:val="21"/>
              </w:rPr>
              <w:t>安全</w:t>
            </w:r>
            <w:r>
              <w:rPr>
                <w:rFonts w:ascii="Times New Roman" w:hAnsi="Times New Roman" w:eastAsia="宋体" w:cs="Times New Roman"/>
                <w:szCs w:val="21"/>
              </w:rPr>
              <w:t>事故。</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25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职业卫生</w:t>
            </w: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职业病危害防治责任制度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职业病危害警示与告知制度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职业病危害项目申报制度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职业病防治宣传教育培训制度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职业病防护设施维护检修制度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职业病防护用品管理制度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职业病危害监测及评价管理制度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建设项目职业卫生“三同时”管理制度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劳动者职业健康监护及其档案管理制度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职业病危害事故处置与报告制度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职业病危害应急救援与管理制度</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8" w:type="dxa"/>
            <w:vMerge w:val="continue"/>
            <w:tcBorders>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岗位职业卫生操作规程</w:t>
            </w:r>
            <w:r>
              <w:rPr>
                <w:rFonts w:hint="eastAsia" w:ascii="Times New Roman" w:hAnsi="Times New Roman" w:eastAsia="宋体" w:cs="Times New Roman"/>
                <w:szCs w:val="21"/>
              </w:rPr>
              <w:t>。</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256"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联合惩戒</w:t>
            </w: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1.被纳入联合惩戒对象。</w:t>
            </w: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25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安全生产责任险</w:t>
            </w:r>
          </w:p>
        </w:tc>
        <w:tc>
          <w:tcPr>
            <w:tcW w:w="4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1.矿山、危险化学品、烟花爆竹、交通运输、建筑施工、民用爆炸物品、金属冶炼七个高危行业投保安全生产责任保险。</w:t>
            </w:r>
          </w:p>
        </w:tc>
        <w:tc>
          <w:tcPr>
            <w:tcW w:w="7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不涉及</w:t>
            </w:r>
          </w:p>
        </w:tc>
        <w:tc>
          <w:tcPr>
            <w:tcW w:w="222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continue"/>
            <w:tcBorders>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256"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4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r>
              <w:rPr>
                <w:rFonts w:hint="eastAsia" w:ascii="Times New Roman" w:hAnsi="Times New Roman" w:eastAsia="宋体" w:cs="Times New Roman"/>
                <w:szCs w:val="21"/>
              </w:rPr>
              <w:t>2. 未按规定提取和使用安全生产费用。</w:t>
            </w:r>
          </w:p>
        </w:tc>
        <w:tc>
          <w:tcPr>
            <w:tcW w:w="7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0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合格</w:t>
            </w:r>
          </w:p>
        </w:tc>
        <w:tc>
          <w:tcPr>
            <w:tcW w:w="222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gridSpan w:val="2"/>
            <w:tcBorders>
              <w:top w:val="single" w:color="auto" w:sz="4" w:space="0"/>
              <w:left w:val="single" w:color="auto" w:sz="8" w:space="0"/>
              <w:bottom w:val="single" w:color="auto" w:sz="8" w:space="0"/>
              <w:right w:val="single" w:color="auto" w:sz="4" w:space="0"/>
            </w:tcBorders>
            <w:vAlign w:val="center"/>
          </w:tcPr>
          <w:p>
            <w:pPr>
              <w:adjustRightInd w:val="0"/>
              <w:snapToGrid w:val="0"/>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总 计</w:t>
            </w:r>
          </w:p>
        </w:tc>
        <w:tc>
          <w:tcPr>
            <w:tcW w:w="487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400" w:lineRule="exact"/>
              <w:rPr>
                <w:rFonts w:ascii="Times New Roman" w:hAnsi="Times New Roman" w:eastAsia="宋体" w:cs="Times New Roman"/>
                <w:szCs w:val="21"/>
              </w:rPr>
            </w:pPr>
          </w:p>
        </w:tc>
        <w:tc>
          <w:tcPr>
            <w:tcW w:w="788"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22</w:t>
            </w:r>
          </w:p>
        </w:tc>
        <w:tc>
          <w:tcPr>
            <w:tcW w:w="83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3070" w:type="dxa"/>
            <w:tcBorders>
              <w:top w:val="single" w:color="auto" w:sz="4" w:space="0"/>
              <w:left w:val="single" w:color="auto" w:sz="4" w:space="0"/>
              <w:bottom w:val="single" w:color="auto" w:sz="8" w:space="0"/>
              <w:right w:val="single" w:color="auto" w:sz="4" w:space="0"/>
            </w:tcBorders>
            <w:vAlign w:val="center"/>
          </w:tcPr>
          <w:p>
            <w:pPr>
              <w:adjustRightInd w:val="0"/>
              <w:snapToGrid w:val="0"/>
              <w:rPr>
                <w:rFonts w:ascii="Times New Roman" w:hAnsi="Times New Roman" w:eastAsia="宋体" w:cs="Times New Roman"/>
                <w:szCs w:val="21"/>
              </w:rPr>
            </w:pPr>
          </w:p>
        </w:tc>
        <w:tc>
          <w:tcPr>
            <w:tcW w:w="222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imes New Roman" w:hAnsi="Times New Roman" w:eastAsia="宋体" w:cs="Times New Roman"/>
                <w:szCs w:val="21"/>
              </w:rPr>
            </w:pPr>
          </w:p>
        </w:tc>
      </w:tr>
    </w:tbl>
    <w:p>
      <w:pPr>
        <w:rPr>
          <w:rFonts w:hint="eastAsia" w:asciiTheme="minorEastAsia" w:hAnsiTheme="minorEastAsia"/>
          <w:color w:val="000000"/>
          <w:sz w:val="28"/>
          <w:szCs w:val="28"/>
        </w:rPr>
      </w:pPr>
      <w:r>
        <w:rPr>
          <w:rFonts w:hint="eastAsia" w:asciiTheme="minorEastAsia" w:hAnsiTheme="minorEastAsia"/>
          <w:color w:val="000000"/>
          <w:sz w:val="28"/>
          <w:szCs w:val="28"/>
        </w:rPr>
        <w:br w:type="page"/>
      </w:r>
    </w:p>
    <w:p>
      <w:pPr>
        <w:snapToGrid w:val="0"/>
        <w:outlineLvl w:val="0"/>
        <w:rPr>
          <w:rFonts w:asciiTheme="minorEastAsia" w:hAnsiTheme="minorEastAsia"/>
          <w:color w:val="000000"/>
          <w:sz w:val="28"/>
          <w:szCs w:val="28"/>
        </w:rPr>
      </w:pPr>
      <w:r>
        <w:rPr>
          <w:rFonts w:hint="eastAsia" w:asciiTheme="minorEastAsia" w:hAnsiTheme="minorEastAsia"/>
          <w:color w:val="000000"/>
          <w:sz w:val="28"/>
          <w:szCs w:val="28"/>
        </w:rPr>
        <w:t>附表2</w:t>
      </w:r>
    </w:p>
    <w:p>
      <w:pPr>
        <w:snapToGrid w:val="0"/>
        <w:jc w:val="center"/>
        <w:outlineLvl w:val="0"/>
        <w:rPr>
          <w:rFonts w:asciiTheme="minorEastAsia" w:hAnsiTheme="minorEastAsia"/>
          <w:b/>
          <w:color w:val="000000"/>
          <w:sz w:val="32"/>
          <w:szCs w:val="32"/>
        </w:rPr>
      </w:pPr>
      <w:r>
        <w:rPr>
          <w:rFonts w:hint="eastAsia" w:asciiTheme="minorEastAsia" w:hAnsiTheme="minorEastAsia"/>
          <w:b/>
          <w:color w:val="000000"/>
          <w:sz w:val="32"/>
          <w:szCs w:val="32"/>
        </w:rPr>
        <w:t>安全生产标准化评审否决项检查表</w:t>
      </w:r>
    </w:p>
    <w:p>
      <w:pPr>
        <w:snapToGrid w:val="0"/>
        <w:jc w:val="center"/>
        <w:outlineLvl w:val="0"/>
        <w:rPr>
          <w:rFonts w:asciiTheme="minorEastAsia" w:hAnsiTheme="minorEastAsia"/>
          <w:color w:val="000000"/>
          <w:sz w:val="28"/>
          <w:szCs w:val="28"/>
        </w:rPr>
      </w:pPr>
      <w:r>
        <w:rPr>
          <w:rFonts w:hint="eastAsia" w:asciiTheme="minorEastAsia" w:hAnsiTheme="minorEastAsia"/>
          <w:color w:val="000000"/>
          <w:sz w:val="28"/>
          <w:szCs w:val="28"/>
        </w:rPr>
        <w:t>（基本否决项）</w:t>
      </w:r>
    </w:p>
    <w:tbl>
      <w:tblPr>
        <w:tblStyle w:val="4"/>
        <w:tblW w:w="138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33"/>
        <w:gridCol w:w="7277"/>
        <w:gridCol w:w="2229"/>
        <w:gridCol w:w="20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序号</w:t>
            </w:r>
          </w:p>
        </w:tc>
        <w:tc>
          <w:tcPr>
            <w:tcW w:w="153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分 类</w:t>
            </w:r>
          </w:p>
        </w:tc>
        <w:tc>
          <w:tcPr>
            <w:tcW w:w="7277"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否决</w:t>
            </w:r>
            <w:r>
              <w:rPr>
                <w:rFonts w:ascii="Times New Roman" w:hAnsi="Times New Roman" w:eastAsia="宋体" w:cs="Times New Roman"/>
                <w:b/>
                <w:bCs/>
                <w:color w:val="000000" w:themeColor="text1"/>
                <w:szCs w:val="21"/>
                <w14:textFill>
                  <w14:solidFill>
                    <w14:schemeClr w14:val="tx1"/>
                  </w14:solidFill>
                </w14:textFill>
              </w:rPr>
              <w:t>内容</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评定情况</w:t>
            </w:r>
          </w:p>
        </w:tc>
        <w:tc>
          <w:tcPr>
            <w:tcW w:w="2061" w:type="dxa"/>
            <w:tcBorders>
              <w:top w:val="single" w:color="auto" w:sz="4" w:space="0"/>
              <w:bottom w:val="single" w:color="auto" w:sz="4" w:space="0"/>
            </w:tcBorders>
          </w:tcPr>
          <w:p>
            <w:pPr>
              <w:adjustRightInd w:val="0"/>
              <w:snapToGrid w:val="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是否通过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tcBorders>
            <w:vAlign w:val="center"/>
          </w:tcPr>
          <w:p>
            <w:pPr>
              <w:adjustRightInd w:val="0"/>
              <w:snapToGrid w:val="0"/>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1</w:t>
            </w:r>
          </w:p>
        </w:tc>
        <w:tc>
          <w:tcPr>
            <w:tcW w:w="1533" w:type="dxa"/>
            <w:tcBorders>
              <w:top w:val="single" w:color="auto" w:sz="4" w:space="0"/>
            </w:tcBorders>
            <w:vAlign w:val="center"/>
          </w:tcPr>
          <w:p>
            <w:pPr>
              <w:adjustRightInd w:val="0"/>
              <w:snapToGrid w:val="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w:t>
            </w:r>
            <w:r>
              <w:rPr>
                <w:rFonts w:ascii="Times New Roman" w:hAnsi="Times New Roman" w:eastAsia="宋体" w:cs="Times New Roman"/>
                <w:color w:val="000000" w:themeColor="text1"/>
                <w:szCs w:val="21"/>
                <w14:textFill>
                  <w14:solidFill>
                    <w14:schemeClr w14:val="tx1"/>
                  </w14:solidFill>
                </w14:textFill>
              </w:rPr>
              <w:t>安全生产责任制</w:t>
            </w:r>
          </w:p>
        </w:tc>
        <w:tc>
          <w:tcPr>
            <w:tcW w:w="7277" w:type="dxa"/>
            <w:tcBorders>
              <w:top w:val="single" w:color="auto" w:sz="4" w:space="0"/>
            </w:tcBorders>
            <w:vAlign w:val="center"/>
          </w:tcPr>
          <w:p>
            <w:pPr>
              <w:pStyle w:val="8"/>
              <w:snapToGrid w:val="0"/>
              <w:jc w:val="both"/>
              <w:rPr>
                <w:rFonts w:ascii="Times New Roman"/>
                <w:bCs/>
                <w:color w:val="000000" w:themeColor="text1"/>
                <w14:textFill>
                  <w14:solidFill>
                    <w14:schemeClr w14:val="tx1"/>
                  </w14:solidFill>
                </w14:textFill>
              </w:rPr>
            </w:pPr>
            <w:r>
              <w:rPr>
                <w:rFonts w:ascii="Times New Roman"/>
                <w:color w:val="000000" w:themeColor="text1"/>
                <w14:textFill>
                  <w14:solidFill>
                    <w14:schemeClr w14:val="tx1"/>
                  </w14:solidFill>
                </w14:textFill>
              </w:rPr>
              <w:t>建立、健全安全生产责任制，至少应包括主要负责人、安全生产管理人员的安全生产职责。</w:t>
            </w:r>
          </w:p>
        </w:tc>
        <w:tc>
          <w:tcPr>
            <w:tcW w:w="2229" w:type="dxa"/>
            <w:tcBorders>
              <w:top w:val="single" w:color="auto" w:sz="4" w:space="0"/>
            </w:tcBorders>
            <w:vAlign w:val="center"/>
          </w:tcPr>
          <w:p>
            <w:pPr>
              <w:adjustRightInd w:val="0"/>
              <w:snapToGrid w:val="0"/>
              <w:jc w:val="center"/>
              <w:rPr>
                <w:rFonts w:hint="eastAsia" w:ascii="Times New Roman" w:hAnsi="Times New Roman" w:eastAsia="宋体" w:cs="Times New Roman"/>
                <w:bCs/>
                <w:color w:val="000000" w:themeColor="text1"/>
                <w:szCs w:val="21"/>
                <w:lang w:eastAsia="zh-CN"/>
                <w14:textFill>
                  <w14:solidFill>
                    <w14:schemeClr w14:val="tx1"/>
                  </w14:solidFill>
                </w14:textFill>
              </w:rPr>
            </w:pPr>
          </w:p>
        </w:tc>
        <w:tc>
          <w:tcPr>
            <w:tcW w:w="2061" w:type="dxa"/>
            <w:tcBorders>
              <w:top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p>
        </w:tc>
        <w:tc>
          <w:tcPr>
            <w:tcW w:w="1533" w:type="dxa"/>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（二）</w:t>
            </w:r>
            <w:r>
              <w:rPr>
                <w:rFonts w:ascii="Times New Roman" w:hAnsi="Times New Roman" w:eastAsia="宋体" w:cs="Times New Roman"/>
                <w:color w:val="000000" w:themeColor="text1"/>
                <w:szCs w:val="21"/>
                <w14:textFill>
                  <w14:solidFill>
                    <w14:schemeClr w14:val="tx1"/>
                  </w14:solidFill>
                </w14:textFill>
              </w:rPr>
              <w:t>安全生产、职业卫生管理机构和人员</w:t>
            </w:r>
          </w:p>
        </w:tc>
        <w:tc>
          <w:tcPr>
            <w:tcW w:w="7277" w:type="dxa"/>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设置安全生产管理机构或配备安全生产管理人员，设置符合下列要求：</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矿山、金属冶炼、建筑施工、道路运输单位和危险物品的生产、经营、储存单位，应设置安全生产管理机构或者配备专职安全生产管理人员。其他生产经营单位，从业人员超过100人的，应设置安全生产管理机构或者配备专职安全生产管理人员；从业人员在100人以下的，应配备专职或者兼职的安全生产管理人员；</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职业病危害严重的用人单位，应设置或者指定职业卫生管理机构或者组织，配备专职职业卫生管理人员；其他存在职业病危害的用人单位，从业人员超过100人的，应设置或者指定职业卫生管理机构或者组织，配备专职职业卫生管理人员；从业人员在100人以下的，应配备专职或者兼职的职业卫生管理人员。</w:t>
            </w:r>
          </w:p>
        </w:tc>
        <w:tc>
          <w:tcPr>
            <w:tcW w:w="2229" w:type="dxa"/>
            <w:tcBorders>
              <w:bottom w:val="single" w:color="auto" w:sz="4" w:space="0"/>
            </w:tcBorders>
            <w:vAlign w:val="center"/>
          </w:tcPr>
          <w:p>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w:t>
            </w:r>
            <w:r>
              <w:rPr>
                <w:rFonts w:ascii="Times New Roman" w:hAnsi="Times New Roman" w:eastAsia="宋体" w:cs="Times New Roman"/>
                <w:color w:val="000000" w:themeColor="text1"/>
                <w:szCs w:val="21"/>
                <w14:textFill>
                  <w14:solidFill>
                    <w14:schemeClr w14:val="tx1"/>
                  </w14:solidFill>
                </w14:textFill>
              </w:rPr>
              <w:t>特种设备</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特种设备使用单位应使用取得许可生产并经检验的特种设备，不使用国家明令淘汰和已经报废的特种设备。</w:t>
            </w:r>
          </w:p>
        </w:tc>
        <w:tc>
          <w:tcPr>
            <w:tcW w:w="2229"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特种设备使用单位办理特种设备使用登记，并按规定的周期进行检验。</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特种设备使用单位应建立特种设备安全技术档案。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特种设备使用单位应对在用特种设备进行自行检查。</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特种设备的安全附件、安全保护装置应定期校验检定、检修，并保存记录。</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特种设备使用单位应将特种设备安全检验标志及相关牌照和证书固定在设备现场显著位置。未经定期检验或检验不的特种设备不应使用。</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（四）</w:t>
            </w:r>
            <w:r>
              <w:rPr>
                <w:rFonts w:ascii="Times New Roman" w:hAnsi="Times New Roman" w:eastAsia="宋体" w:cs="Times New Roman"/>
                <w:color w:val="000000" w:themeColor="text1"/>
                <w:szCs w:val="21"/>
                <w14:textFill>
                  <w14:solidFill>
                    <w14:schemeClr w14:val="tx1"/>
                  </w14:solidFill>
                </w14:textFill>
              </w:rPr>
              <w:t>危险化学品</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不应使用国家禁止使用的危险化学品。</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10</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危险化学品储存场所不应设置在地下或半地下建、构筑物内。危险化学品储存场所内不应设置员工宿舍或休息室。</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11</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危险化学品专用仓库应为单层且独立设置。</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危险化学品专用仓库的墙体应采用不燃烧材料的实体墙。危险化学品专用仓库的建筑物构架应根据危险化学品的类别和危险等级采用木结构、钢结构或装配式钢筋混凝土结构。</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13</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构成重大危险源的单位应委托具有相应资质的安全评价机构对重大危险源进行安全评估并确定重大危险源等级。</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14</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highlight w:val="yellow"/>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构成重大危险源的，应建立重大危险源档案。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15</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使用危险化学品的单位应采购有危险化学品安全生产许可或经营许可资质单位的危险化学品。</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16</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危险化学品应储存在储存场所内。</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17</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危险化学品储存场所应由专人负责管理。</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18</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危险化学品储存场所应设置明显的标志，并在危险化学品作业场所和安全设施、设备上设置明显的安全警示标志。</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19</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使用危险化学品的单位应按危险化学品的危险性质分区、分类、分库（或分柜）存放，禁忌类危险化学品不应混合存放。</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易燃易爆危险化学品的储存要求：</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a）库房应干燥、易于通风、密闭和避光，并应安装避雷装置；库房内可能散发或泄漏可燃气体、可燃蒸汽的场所应安装可燃气体检测报警装置；</w:t>
            </w:r>
          </w:p>
          <w:p>
            <w:pPr>
              <w:adjustRightInd w:val="0"/>
              <w:snapToGrid w:val="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易爆性危险化学品应储存于一级轻顶耐火建筑的库房内；低、中闪点液体、一级易燃固体、自燃物品、压缩气体和液化气体应储存于一级耐火建筑的库房内；遇湿易燃品、氧化剂和有机过氧化物应储存于一、二级耐火建筑的库房内；二级易燃固体、高闪点液体应储存于耐火等级不低于二级的库房内；易燃气体不应与助燃气体同库储存。</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21</w:t>
            </w:r>
          </w:p>
        </w:tc>
        <w:tc>
          <w:tcPr>
            <w:tcW w:w="1533" w:type="dxa"/>
            <w:vMerge w:val="restart"/>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腐蚀性危险化学品的储存要求：</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a）库房应阴凉、干燥、通风、避阳，并经防腐蚀、防渗处理；</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b）储存发烟硝酸、溴素、高氯酸钾的库房应干燥通风；</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c）溴氢酸、碘氢酸应闭光储存，溴素应专库储存；</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d）腐蚀性化学品应避免阳光直射、暴晒，远离热源、电源、火源；</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e）腐蚀性化学品应按不同类别、性质、危险程度、灭火方法等分区分类储存，性质和消防施救方法相抵的不应同库储存。</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22</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有毒危险化学品货垛高度不超过3m。</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23</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使用危险化学品的单位，应在其作业场所和岗位设置明显的安全警示标志。</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24</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使用危险化学品的单位，应根据危险化学品的种类和危险特性，在作业场所设置相应的监测、监控、通风、调温、防火、灭火、防爆、防毒、防潮、防雷、防静电、防泄漏以及防护围堤或者隔离操作等安全设施、设备，并应对安全设施、设备进行经常性维护、保养，定期检测。</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25</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采用管道输送危险化学品的单位，应对其铺设的危险化学品管道设置明显标志，并对危险化学品管道定期检查、检测。</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26</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使用危险化学品的单位应根据构成重大危险源的危险化学品种类、数量、生产、使用工艺（方式）或者相关设备、设施等实际情况，按照下列要求建立健全安全监测监控体系，完善控制措施：</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 d；</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b）重大危险源的化工生产装置装备满足安全生产要求的自动化控制系统；一级或者二级重大危险源，装备紧急停车系统；</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对重大危险源中的毒性气体、剧毒液体和易燃气体等重点设施，设置紧急切断装置；毒性气体的设施，设置泄漏物紧急处置装置。涉及毒性气体、液化气体、剧毒液体的一级或者二级重大危险源，配备独立的安全仪表系统；</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d）重大危险源中储存剧毒物质的场所或者设施，设置视频监控系统。</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27</w:t>
            </w:r>
          </w:p>
        </w:tc>
        <w:tc>
          <w:tcPr>
            <w:tcW w:w="1533" w:type="dxa"/>
            <w:vMerge w:val="restart"/>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构成重大危险源的单位应定期对重大危险源的设备设施和安全监测监控系统进行检测、检验。</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28</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构成重大危险源的单位应在重大危险源所在场所设置明显的安全警示标志。</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29</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构成重大危险源的单位应将重大危险源可能发生的事故后果和应急措施等信息，以适当方式告知可能受影响的单位、区域及人员。</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30</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构成重大危险源的单位应按下列要求配备必要的防护装备及应急救援器材、设备、物资：</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a）对存在吸入性有毒、有害气体的重大危险源，应配备便携式浓度检测设备、空气呼吸器、化学防护服、堵漏器材等应急器材和设备；</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b）涉及剧毒气体的重大危险源，还应配备2套以上（含2套）气密型化学防护服；</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c）涉及易燃易爆气体或者易燃液体蒸气的重大危险源，还应配备一定数量的便携式可燃气体检测设备。</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31</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（五）</w:t>
            </w:r>
            <w:r>
              <w:rPr>
                <w:rFonts w:ascii="Times New Roman" w:hAnsi="Times New Roman" w:eastAsia="宋体" w:cs="Times New Roman"/>
                <w:color w:val="000000" w:themeColor="text1"/>
                <w:szCs w:val="21"/>
                <w14:textFill>
                  <w14:solidFill>
                    <w14:schemeClr w14:val="tx1"/>
                  </w14:solidFill>
                </w14:textFill>
              </w:rPr>
              <w:t>安全生产培训</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制订安全生产培训计划。</w:t>
            </w:r>
          </w:p>
        </w:tc>
        <w:tc>
          <w:tcPr>
            <w:tcW w:w="2229"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32</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新上岗的从业人员应进行“单位（厂）、部门（车间）、基层（班组）”三级安全培训教育，岗前安全培训时间不应少于24学时，每年再培训时间不应少于8学时。</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33</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工作场所存在职业病危害因素分类目录所列职业病危害因素的企业，其主要负责人和职业卫生管理人员初次职业卫生培训不应少于16学时，每年继续教育不应少于8学时。</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34</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从事特种作业、特种设备作业的人员和其他特殊岗位人员应按照有关规定，经安全培训、考核，取得相应资格后，方可上岗作业，并按期参加复训和复审。</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35</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对相关方作业人员（短期临时作业人员、实习学生、学习参观人员及其他外来人员）进行安全教育培训。</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36</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建立安全生产教育培训档案。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37</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（六）</w:t>
            </w:r>
            <w:r>
              <w:rPr>
                <w:rFonts w:ascii="Times New Roman" w:hAnsi="Times New Roman" w:eastAsia="宋体" w:cs="Times New Roman"/>
                <w:color w:val="000000" w:themeColor="text1"/>
                <w:szCs w:val="21"/>
                <w14:textFill>
                  <w14:solidFill>
                    <w14:schemeClr w14:val="tx1"/>
                  </w14:solidFill>
                </w14:textFill>
              </w:rPr>
              <w:t>应急管理</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在编制应急预案前进行事故风险评估和应急资源调查。</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38</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根据本单位组织管理体系、生产规模、危险源的性质以及可能发生的事故类型确定本单位的应急预案体系。</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39</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应急预案应经评审或论证，并经批准实施，现行有效版本应发放至本单位有关部门、岗位和相关应急救援队伍。</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40</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根据本企业的事故预防重点，每年至少组织1次综合应急预案演练或者专项应急预案演练，每半年至少组织1次现场处置方案演练。</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41</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对应急预案进行定期评估，并对应急预案是否需要修订作出结论。</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42</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根据实际需求，配备应急设施和装备，储备应急物资，并建立使用状况台账，定期检测和维护。</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43</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（七）</w:t>
            </w:r>
            <w:r>
              <w:rPr>
                <w:rFonts w:ascii="Times New Roman" w:hAnsi="Times New Roman" w:eastAsia="宋体" w:cs="Times New Roman"/>
                <w:color w:val="000000" w:themeColor="text1"/>
                <w:szCs w:val="21"/>
                <w14:textFill>
                  <w14:solidFill>
                    <w14:schemeClr w14:val="tx1"/>
                  </w14:solidFill>
                </w14:textFill>
              </w:rPr>
              <w:t>隐患排查</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每月向从业人员通报事故隐患排查治理情况。重大事故隐患消除前，单位应向从业人员公示事故隐患所在位置、危害程度、影响范围和应急措施等信息。</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44</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按照要求使用生产安全事故隐患排查治理信息系统，如实记录事故隐患的排查时间、所属类型、所在位置、责任部门和责任人、治理措施及整改情况等内容。</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45</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（八）</w:t>
            </w:r>
            <w:r>
              <w:rPr>
                <w:rFonts w:ascii="Times New Roman" w:hAnsi="Times New Roman" w:eastAsia="宋体" w:cs="Times New Roman"/>
                <w:color w:val="000000" w:themeColor="text1"/>
                <w:szCs w:val="21"/>
                <w14:textFill>
                  <w14:solidFill>
                    <w14:schemeClr w14:val="tx1"/>
                  </w14:solidFill>
                </w14:textFill>
              </w:rPr>
              <w:t>相关方管理</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选用具有相应资质的供应单位、承包（承租）单位。</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46</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与供应单位、承包（承租）单位签订安全生产管理协议，或者在合同中约定各自的安全生产管理职责。</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47</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将被派遣劳动者纳入本企业从业人员进行统一管理，对被派遣劳动者进行岗位安全操作规程和安全操作技能的教育和培训。</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48</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对承包（承租）单位的安全生产工作统一协调、管理，定期进行安全检查。</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49</w:t>
            </w:r>
          </w:p>
        </w:tc>
        <w:tc>
          <w:tcPr>
            <w:tcW w:w="1533"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（九）</w:t>
            </w:r>
            <w:r>
              <w:rPr>
                <w:rFonts w:ascii="Times New Roman" w:hAnsi="Times New Roman" w:eastAsia="宋体" w:cs="Times New Roman"/>
                <w:color w:val="000000" w:themeColor="text1"/>
                <w:szCs w:val="21"/>
                <w14:textFill>
                  <w14:solidFill>
                    <w14:schemeClr w14:val="tx1"/>
                  </w14:solidFill>
                </w14:textFill>
              </w:rPr>
              <w:t>劳动防护</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为从业人员提供劳动防护用品，</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50</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w:t>
            </w:r>
            <w:r>
              <w:rPr>
                <w:rFonts w:ascii="Times New Roman" w:hAnsi="Times New Roman" w:eastAsia="宋体" w:cs="Times New Roman"/>
                <w:color w:val="000000" w:themeColor="text1"/>
                <w:szCs w:val="21"/>
                <w14:textFill>
                  <w14:solidFill>
                    <w14:schemeClr w14:val="tx1"/>
                  </w14:solidFill>
                </w14:textFill>
              </w:rPr>
              <w:t>职业卫生</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工作场所存在职业病危害因素分类目录所列职业病危害因素的单位，应及时、如实向所在地安全生产监督管理部门申报职业病危害项目。</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51</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应委托具有相应资质的职业卫生技术服务机构，每年应至少进行1次职业病危害因素检测；职业病危害严重的用人单位，每三年应至少进行1次职业病危害现状评价，检测、评价结果存入职业卫生档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52</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工作场所存在职业病危害因素分类目录所列职业病危害因素的单位，应对接触职业病危害因素人员进行上岗前、在岗期间和离岗时的职业健康检查。</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53</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应建立职业健康监护档案，并保存档案。职业健康监护档案应包括劳动者的职业史、职业病危害接触史、职业健康检查结果和职业病诊疗等有关个人健康资料。</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54</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不应安排有职业禁忌的从业人员从事其所禁忌的作业；不应安排未成年工从事接触职业病危害因素的作业；不应安排孕期、哺乳期的女职工从事对本人和胎儿、婴儿有危害的作业。</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55</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工作场所存在职业病危害因素分类目录所列职业病危害因素的单位，应建立、健全职业健康管理档案。职业健康管理档案资料应包括下列内容：</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a）工作场所职业病危害因素种类清单以及作业人员接触情况等资料；</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b）工作场所职业病危害因素检测结果、评价报告；</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c）职业健康检查结果汇总资料与评价报告；</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d）职业病危害事故报告与应急处置记录；</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e）对存在职业禁忌证、职业健康损害或者职业病的从业人员处理和安置情况记录；</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f）其他有关职业卫生管理的资料或者文件。</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56</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工作场所存在职业病危害因素分类目录所列职业病危害因素的单位与从业人员订立劳动合同时，应将工作过程中可能产生的职业病危害及其后果和防护措施如实告知从业人员，并在劳动合同中写明。</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67</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对接触职业病危害因素的从业人员进行培训。</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58</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公布职业病防治的规章制度等内容。公布本单位的职业卫生管理制度和操作规程、应急救援措施、职业病危害因素检测结果。</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59</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有害作业应与无害作业分开。</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60</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存在或产生职业病危害的工作场所、作业岗位、设备、设施，应在醒目位置设置图形、警示线、警示语句等警示标识和中文警示说明。警示说明应当载明产生职业病危害的种类、后果、预防和应急处置措施等内容。</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61</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对可能发生急性职业损伤的有毒、有害工作场所，设置报警装置，配置现场急救用品、冲洗设备、应急撤离通道。</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62</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对职业病防护设备、应急救援设施和个人使用的职业病防护用品，应当进行经常性的维护、检修，定期检测其性能和效果，确保其处于正常状态，不得擅自拆除或者停止使用。</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eastAsia="zh-CN"/>
              </w:rPr>
              <w:t>不涉及</w:t>
            </w:r>
          </w:p>
        </w:tc>
        <w:tc>
          <w:tcPr>
            <w:tcW w:w="2061" w:type="dxa"/>
            <w:tcBorders>
              <w:top w:val="single" w:color="auto" w:sz="4" w:space="0"/>
              <w:bottom w:val="single" w:color="auto" w:sz="4" w:space="0"/>
            </w:tcBorders>
            <w:vAlign w:val="center"/>
          </w:tcPr>
          <w:p>
            <w:pPr>
              <w:snapToGrid w:val="0"/>
              <w:jc w:val="center"/>
              <w:rPr>
                <w:color w:val="000000" w:themeColor="text1"/>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63</w:t>
            </w:r>
          </w:p>
        </w:tc>
        <w:tc>
          <w:tcPr>
            <w:tcW w:w="1533"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（十一）</w:t>
            </w:r>
            <w:r>
              <w:rPr>
                <w:rFonts w:ascii="Times New Roman" w:hAnsi="Times New Roman" w:eastAsia="宋体" w:cs="Times New Roman"/>
                <w:color w:val="000000" w:themeColor="text1"/>
                <w:szCs w:val="21"/>
                <w14:textFill>
                  <w14:solidFill>
                    <w14:schemeClr w14:val="tx1"/>
                  </w14:solidFill>
                </w14:textFill>
              </w:rPr>
              <w:t>三同时管理</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新建、改建、扩建工程项目安全设施和职业病防护设施实行“三同时”管理，安全设施和职业病防护设施应与主体工程同时设计、同时施工、同时投入生产和使用，且应符合建设项目安全设施和职业病防护设施“三同时”的相关规定。</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64</w:t>
            </w:r>
          </w:p>
        </w:tc>
        <w:tc>
          <w:tcPr>
            <w:tcW w:w="1533"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（十二）</w:t>
            </w:r>
            <w:r>
              <w:rPr>
                <w:rFonts w:ascii="Times New Roman" w:hAnsi="Times New Roman" w:eastAsia="宋体" w:cs="Times New Roman"/>
                <w:color w:val="000000" w:themeColor="text1"/>
                <w:szCs w:val="21"/>
                <w14:textFill>
                  <w14:solidFill>
                    <w14:schemeClr w14:val="tx1"/>
                  </w14:solidFill>
                </w14:textFill>
              </w:rPr>
              <w:t>有限空间作业</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有限空间作业应严格执行危险作业审批制度。有限空间作业应符合下列要求：</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a）应有明显的警示标志；</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b）进行有毒有害气体浓度和氧气浓度检测，浓度符合安全指标后，方可准备进行作业；</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c）作业时，应佩带必要的安全防护用具。</w:t>
            </w:r>
          </w:p>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e）作业时，应有监护人，监护人不应擅离职守，操作期间应对有毒有害气体浓度和氧气浓度不间断监测。</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65</w:t>
            </w:r>
          </w:p>
        </w:tc>
        <w:tc>
          <w:tcPr>
            <w:tcW w:w="1533"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（十三）</w:t>
            </w:r>
            <w:r>
              <w:rPr>
                <w:rFonts w:ascii="Times New Roman" w:hAnsi="Times New Roman" w:eastAsia="宋体" w:cs="Times New Roman"/>
                <w:color w:val="000000" w:themeColor="text1"/>
                <w:szCs w:val="21"/>
                <w14:textFill>
                  <w14:solidFill>
                    <w14:schemeClr w14:val="tx1"/>
                  </w14:solidFill>
                </w14:textFill>
              </w:rPr>
              <w:t>电气</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依据国家公布的设备性能标准逐步淘汰落后的电气设备。</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66</w:t>
            </w:r>
          </w:p>
        </w:tc>
        <w:tc>
          <w:tcPr>
            <w:tcW w:w="1533" w:type="dxa"/>
            <w:vMerge w:val="restart"/>
            <w:tcBorders>
              <w:top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（十四）</w:t>
            </w:r>
            <w:r>
              <w:rPr>
                <w:rFonts w:ascii="Times New Roman" w:hAnsi="Times New Roman" w:eastAsia="宋体" w:cs="Times New Roman"/>
                <w:color w:val="000000" w:themeColor="text1"/>
                <w:szCs w:val="21"/>
                <w14:textFill>
                  <w14:solidFill>
                    <w14:schemeClr w14:val="tx1"/>
                  </w14:solidFill>
                </w14:textFill>
              </w:rPr>
              <w:t>消防</w:t>
            </w: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建筑物或者场所应依法通过消防验收或者进行消防竣工验收备案。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67</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对建筑消防设施每年至少进行1次全面检测，确保完好有效。</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68</w:t>
            </w:r>
          </w:p>
        </w:tc>
        <w:tc>
          <w:tcPr>
            <w:tcW w:w="1533" w:type="dxa"/>
            <w:vMerge w:val="continue"/>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消防安全重点单位应定期对电气防火安全进行检测和开展每日防火巡查。</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69</w:t>
            </w:r>
          </w:p>
        </w:tc>
        <w:tc>
          <w:tcPr>
            <w:tcW w:w="1533" w:type="dxa"/>
            <w:vMerge w:val="continue"/>
            <w:tcBorders>
              <w:bottom w:val="single" w:color="auto" w:sz="4" w:space="0"/>
            </w:tcBorders>
            <w:vAlign w:val="center"/>
          </w:tcPr>
          <w:p>
            <w:pPr>
              <w:adjustRightInd w:val="0"/>
              <w:snapToGrid w:val="0"/>
              <w:rPr>
                <w:rFonts w:ascii="Times New Roman" w:hAnsi="Times New Roman" w:eastAsia="宋体" w:cs="Times New Roman"/>
                <w:color w:val="000000" w:themeColor="text1"/>
                <w:szCs w:val="21"/>
                <w14:textFill>
                  <w14:solidFill>
                    <w14:schemeClr w14:val="tx1"/>
                  </w14:solidFill>
                </w14:textFill>
              </w:rPr>
            </w:pPr>
          </w:p>
        </w:tc>
        <w:tc>
          <w:tcPr>
            <w:tcW w:w="7277" w:type="dxa"/>
            <w:tcBorders>
              <w:top w:val="single" w:color="auto" w:sz="4" w:space="0"/>
              <w:bottom w:val="single" w:color="auto" w:sz="4" w:space="0"/>
            </w:tcBorders>
            <w:vAlign w:val="center"/>
          </w:tcPr>
          <w:p>
            <w:pPr>
              <w:adjustRightInd w:val="0"/>
              <w:snapToGrid w:val="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保持畅通，不应占用、堵塞、封闭安全出口、消防车道和疏散通道或者有其他妨碍安全疏散的行为。</w:t>
            </w:r>
          </w:p>
        </w:tc>
        <w:tc>
          <w:tcPr>
            <w:tcW w:w="2229" w:type="dxa"/>
            <w:tcBorders>
              <w:top w:val="single" w:color="auto" w:sz="4" w:space="0"/>
              <w:bottom w:val="single" w:color="auto" w:sz="4" w:space="0"/>
            </w:tcBorders>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lang w:val="en-US" w:eastAsia="zh-CN"/>
              </w:rPr>
              <w:t>合格</w:t>
            </w:r>
          </w:p>
        </w:tc>
        <w:tc>
          <w:tcPr>
            <w:tcW w:w="2061" w:type="dxa"/>
            <w:tcBorders>
              <w:top w:val="single" w:color="auto" w:sz="4" w:space="0"/>
              <w:bottom w:val="single" w:color="auto" w:sz="4" w:space="0"/>
            </w:tcBorders>
            <w:vAlign w:val="center"/>
          </w:tcPr>
          <w:p>
            <w:pPr>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szCs w:val="21"/>
              </w:rPr>
              <w:t>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szCs w:val="21"/>
              </w:rPr>
              <w:t>不通过</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bl>
    <w:p>
      <w:pPr>
        <w:snapToGrid w:val="0"/>
        <w:outlineLvl w:val="0"/>
        <w:rPr>
          <w:rFonts w:ascii="仿宋_GB2312" w:eastAsia="仿宋_GB2312" w:cs="仿宋_GB2312"/>
          <w:kern w:val="0"/>
          <w:sz w:val="32"/>
          <w:szCs w:val="32"/>
        </w:rPr>
      </w:pPr>
    </w:p>
    <w:p>
      <w:pPr>
        <w:rPr>
          <w:rFonts w:hint="eastAsia"/>
          <w:lang w:val="en-US" w:eastAsia="zh-CN"/>
        </w:rPr>
      </w:pPr>
      <w:r>
        <w:rPr>
          <w:rFonts w:hint="eastAsia"/>
          <w:lang w:val="en-US" w:eastAsia="zh-CN"/>
        </w:rPr>
        <w:t xml:space="preserve">企业名称：北京光华荣昌汽车部件有限有限公司  </w:t>
      </w:r>
      <w:bookmarkStart w:id="0" w:name="_GoBack"/>
      <w:bookmarkEnd w:id="0"/>
      <w:r>
        <w:rPr>
          <w:rFonts w:hint="eastAsia"/>
          <w:lang w:val="en-US" w:eastAsia="zh-CN"/>
        </w:rPr>
        <w:t xml:space="preserve">                                       项目负责：</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b/>
          <w:bCs/>
          <w:lang w:val="en-US" w:eastAsia="zh-CN"/>
        </w:rPr>
      </w:pPr>
      <w:r>
        <w:rPr>
          <w:rFonts w:hint="eastAsia"/>
          <w:b/>
          <w:bCs/>
          <w:lang w:val="en-US" w:eastAsia="zh-CN"/>
        </w:rPr>
        <w:t>要求：</w:t>
      </w:r>
    </w:p>
    <w:p>
      <w:pPr>
        <w:rPr>
          <w:rFonts w:hint="eastAsia"/>
          <w:lang w:val="en-US" w:eastAsia="zh-CN"/>
        </w:rPr>
      </w:pPr>
      <w:r>
        <w:rPr>
          <w:rFonts w:hint="eastAsia"/>
          <w:lang w:val="en-US" w:eastAsia="zh-CN"/>
        </w:rPr>
        <w:t>1：每页加盖企业公章，左上角；或加盖骑缝章。</w:t>
      </w:r>
    </w:p>
    <w:p>
      <w:pPr>
        <w:rPr>
          <w:rFonts w:hint="eastAsia"/>
          <w:lang w:val="en-US" w:eastAsia="zh-CN"/>
        </w:rPr>
      </w:pPr>
      <w:r>
        <w:rPr>
          <w:rFonts w:hint="eastAsia"/>
          <w:lang w:val="en-US" w:eastAsia="zh-CN"/>
        </w:rPr>
        <w:t>2：对于不涉及的否决项，在相应条款的“评审情况”中明确“不涉及”。</w:t>
      </w:r>
    </w:p>
    <w:p>
      <w:pPr>
        <w:rPr>
          <w:rFonts w:hint="default"/>
          <w:lang w:val="en-US" w:eastAsia="zh-CN"/>
        </w:rPr>
      </w:pPr>
      <w:r>
        <w:rPr>
          <w:rFonts w:hint="eastAsia"/>
          <w:lang w:val="en-US" w:eastAsia="zh-CN"/>
        </w:rPr>
        <w:t>3：合格项在相应条款的“评审情况”中明确“合格”通过处打√。</w:t>
      </w:r>
    </w:p>
    <w:sectPr>
      <w:headerReference r:id="rId3" w:type="default"/>
      <w:pgSz w:w="16838" w:h="11906" w:orient="landscape"/>
      <w:pgMar w:top="1911" w:right="1440" w:bottom="1514"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u w:val="none"/>
      </w:rPr>
    </w:pPr>
    <w:r>
      <w:rPr>
        <w:rFonts w:hint="eastAsia" w:ascii="宋体" w:hAnsi="宋体"/>
        <w:sz w:val="30"/>
        <w:szCs w:val="30"/>
        <w:u w:val="none"/>
        <w:lang w:eastAsia="zh-CN"/>
      </w:rPr>
      <w:t>单位名称：北京光华荣昌汽车部件有限有限公司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D8"/>
    <w:rsid w:val="004B7C11"/>
    <w:rsid w:val="00C6036C"/>
    <w:rsid w:val="00DA08D8"/>
    <w:rsid w:val="00E44EFD"/>
    <w:rsid w:val="04F73CC7"/>
    <w:rsid w:val="05954E5B"/>
    <w:rsid w:val="070841CB"/>
    <w:rsid w:val="07B45355"/>
    <w:rsid w:val="097A1077"/>
    <w:rsid w:val="0DF4673B"/>
    <w:rsid w:val="0ED706F3"/>
    <w:rsid w:val="0F8E37F9"/>
    <w:rsid w:val="12AB6F03"/>
    <w:rsid w:val="26CC05A1"/>
    <w:rsid w:val="288D6366"/>
    <w:rsid w:val="28AC73BA"/>
    <w:rsid w:val="37BC59D0"/>
    <w:rsid w:val="3B515302"/>
    <w:rsid w:val="3FFC02F8"/>
    <w:rsid w:val="400B6A45"/>
    <w:rsid w:val="40554850"/>
    <w:rsid w:val="42EC1389"/>
    <w:rsid w:val="449F425A"/>
    <w:rsid w:val="49DB332D"/>
    <w:rsid w:val="4C5034FD"/>
    <w:rsid w:val="511272C1"/>
    <w:rsid w:val="55D406BF"/>
    <w:rsid w:val="599D7EC3"/>
    <w:rsid w:val="5B670C28"/>
    <w:rsid w:val="61165E7B"/>
    <w:rsid w:val="65801368"/>
    <w:rsid w:val="688861D0"/>
    <w:rsid w:val="6F351CA4"/>
    <w:rsid w:val="71A40A10"/>
    <w:rsid w:val="775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三级无"/>
    <w:basedOn w:val="1"/>
    <w:qFormat/>
    <w:uiPriority w:val="0"/>
    <w:pPr>
      <w:widowControl/>
      <w:jc w:val="left"/>
      <w:outlineLvl w:val="4"/>
    </w:pPr>
    <w:rPr>
      <w:rFonts w:ascii="宋体"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6421</Words>
  <Characters>6521</Characters>
  <Lines>49</Lines>
  <Paragraphs>13</Paragraphs>
  <TotalTime>1</TotalTime>
  <ScaleCrop>false</ScaleCrop>
  <LinksUpToDate>false</LinksUpToDate>
  <CharactersWithSpaces>6530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2018-07-04T06:50:00Z</dcterms:created>
  <dc:creator>jcli</dc:creator>
  <cp:lastModifiedBy>位华杰</cp:lastModifiedBy>
  <dcterms:modified xsi:type="dcterms:W3CDTF">2022-04-27T03:03:06Z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A7FF1F587E7447A5A3769D2120453B4E</vt:lpwstr>
  </property>
</Properties>
</file>