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921642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1642">
        <w:rPr>
          <w:rFonts w:ascii="宋体" w:eastAsia="宋体" w:hAnsi="宋体" w:hint="eastAsia"/>
          <w:b/>
          <w:sz w:val="32"/>
          <w:szCs w:val="32"/>
        </w:rPr>
        <w:t>寿命耐久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787C7B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921642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2022年5月7日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787C7B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787C7B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921642" w:rsidRDefault="00951CAD" w:rsidP="00921642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21642">
        <w:rPr>
          <w:rFonts w:ascii="Calibri" w:hAnsi="Calibri" w:hint="eastAsia"/>
          <w:iCs/>
          <w:sz w:val="32"/>
        </w:rPr>
        <w:t xml:space="preserve"> </w:t>
      </w:r>
      <w:r w:rsidRPr="00921642">
        <w:rPr>
          <w:rFonts w:ascii="Calibri" w:hAnsi="Calibri" w:hint="eastAsia"/>
          <w:iCs/>
          <w:sz w:val="32"/>
        </w:rPr>
        <w:t>报告无</w:t>
      </w:r>
      <w:r w:rsidR="00921642" w:rsidRPr="00921642">
        <w:rPr>
          <w:rFonts w:ascii="Calibri" w:hAnsi="Calibri" w:hint="eastAsia"/>
          <w:iCs/>
          <w:sz w:val="32"/>
        </w:rPr>
        <w:t>实验室</w:t>
      </w:r>
      <w:r w:rsidRPr="00921642">
        <w:rPr>
          <w:rFonts w:ascii="Calibri" w:hAnsi="Calibri" w:hint="eastAsia"/>
          <w:iCs/>
          <w:sz w:val="32"/>
        </w:rPr>
        <w:t>“</w:t>
      </w:r>
      <w:r w:rsidR="00921642">
        <w:rPr>
          <w:rFonts w:ascii="Calibri" w:hAnsi="Calibri" w:hint="eastAsia"/>
          <w:iCs/>
          <w:sz w:val="32"/>
        </w:rPr>
        <w:t>检测专用章”</w:t>
      </w:r>
      <w:r w:rsidRPr="00921642">
        <w:rPr>
          <w:rFonts w:ascii="Calibri" w:hAnsi="Calibri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921642" w:rsidRDefault="00921642" w:rsidP="00921642">
      <w:pPr>
        <w:spacing w:line="360" w:lineRule="auto"/>
        <w:rPr>
          <w:rFonts w:ascii="Calibri" w:hAnsi="Calibri"/>
          <w:iCs/>
          <w:sz w:val="32"/>
        </w:rPr>
      </w:pPr>
      <w:r w:rsidRPr="00921642">
        <w:rPr>
          <w:rFonts w:ascii="Calibri" w:eastAsia="宋体" w:hAnsi="Calibri" w:cs="Times New Roman" w:hint="eastAsia"/>
          <w:iCs/>
          <w:sz w:val="32"/>
        </w:rPr>
        <w:t>⑶</w:t>
      </w:r>
      <w:r w:rsidR="00951CAD" w:rsidRPr="00921642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951CAD" w:rsidRPr="00921642">
        <w:rPr>
          <w:rFonts w:ascii="Calibri" w:hAnsi="Calibri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921642"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921642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843"/>
        <w:gridCol w:w="2943"/>
      </w:tblGrid>
      <w:tr w:rsidR="00887A94" w:rsidTr="00921642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260" w:type="dxa"/>
            <w:vAlign w:val="center"/>
          </w:tcPr>
          <w:p w:rsidR="00887A94" w:rsidRPr="00933E51" w:rsidRDefault="00E370F5" w:rsidP="009216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2.0气囊总成</w:t>
            </w:r>
          </w:p>
        </w:tc>
        <w:tc>
          <w:tcPr>
            <w:tcW w:w="1843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661B37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887A94" w:rsidTr="00921642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260" w:type="dxa"/>
            <w:vAlign w:val="center"/>
          </w:tcPr>
          <w:p w:rsidR="00887A94" w:rsidRPr="00933E51" w:rsidRDefault="00E370F5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</w:t>
            </w:r>
            <w:r>
              <w:rPr>
                <w:rFonts w:ascii="宋体" w:hAnsi="宋体" w:hint="eastAsia"/>
                <w:kern w:val="0"/>
                <w:szCs w:val="20"/>
              </w:rPr>
              <w:t>3134</w:t>
            </w:r>
          </w:p>
        </w:tc>
        <w:tc>
          <w:tcPr>
            <w:tcW w:w="1843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824669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921642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260" w:type="dxa"/>
            <w:vAlign w:val="center"/>
          </w:tcPr>
          <w:p w:rsidR="00887A94" w:rsidRPr="00933E51" w:rsidRDefault="00921642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1843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921642">
        <w:trPr>
          <w:trHeight w:hRule="exact" w:val="700"/>
        </w:trPr>
        <w:tc>
          <w:tcPr>
            <w:tcW w:w="1951" w:type="dxa"/>
            <w:vAlign w:val="center"/>
          </w:tcPr>
          <w:p w:rsidR="00921642" w:rsidRDefault="00E70A76" w:rsidP="00E70A76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21642">
              <w:rPr>
                <w:rFonts w:ascii="宋体" w:eastAsia="宋体" w:hAnsi="宋体" w:hint="eastAsia"/>
              </w:rPr>
              <w:t>及其</w:t>
            </w:r>
          </w:p>
          <w:p w:rsidR="00E70A76" w:rsidRDefault="00921642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260" w:type="dxa"/>
            <w:vAlign w:val="center"/>
          </w:tcPr>
          <w:p w:rsidR="00E70A76" w:rsidRDefault="00921642" w:rsidP="00A81C24">
            <w:pPr>
              <w:ind w:right="-102"/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  <w:p w:rsidR="00921642" w:rsidRPr="00533389" w:rsidRDefault="00921642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1843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921642" w:rsidP="00E70A7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2022年4月24日</w:t>
                </w:r>
              </w:p>
            </w:sdtContent>
          </w:sdt>
        </w:tc>
      </w:tr>
      <w:tr w:rsidR="00E70A76" w:rsidTr="00921642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260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843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921642" w:rsidP="00E70A7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921642" w:rsidP="00E370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寿命耐久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  <w:bookmarkStart w:id="0" w:name="_GoBack"/>
            <w:bookmarkEnd w:id="0"/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921642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921642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787C7B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2164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787C7B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1642">
                  <w:rPr>
                    <w:rFonts w:eastAsia="宋体" w:cs="Arial" w:hint="eastAsia"/>
                    <w:color w:val="000000"/>
                  </w:rPr>
                  <w:t>2022</w:t>
                </w:r>
                <w:r w:rsidR="00921642">
                  <w:rPr>
                    <w:rFonts w:eastAsia="宋体" w:cs="Arial" w:hint="eastAsia"/>
                    <w:color w:val="000000"/>
                  </w:rPr>
                  <w:t>年</w:t>
                </w:r>
                <w:r w:rsidR="00921642">
                  <w:rPr>
                    <w:rFonts w:eastAsia="宋体" w:cs="Arial" w:hint="eastAsia"/>
                    <w:color w:val="000000"/>
                  </w:rPr>
                  <w:t>4</w:t>
                </w:r>
                <w:r w:rsidR="00921642">
                  <w:rPr>
                    <w:rFonts w:eastAsia="宋体" w:cs="Arial" w:hint="eastAsia"/>
                    <w:color w:val="000000"/>
                  </w:rPr>
                  <w:t>月</w:t>
                </w:r>
                <w:r w:rsidR="00921642">
                  <w:rPr>
                    <w:rFonts w:eastAsia="宋体" w:cs="Arial" w:hint="eastAsia"/>
                    <w:color w:val="000000"/>
                  </w:rPr>
                  <w:t>25</w:t>
                </w:r>
                <w:r w:rsidR="009216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1642">
                  <w:rPr>
                    <w:rFonts w:eastAsia="宋体" w:cs="Arial" w:hint="eastAsia"/>
                    <w:color w:val="000000"/>
                  </w:rPr>
                  <w:t>2021</w:t>
                </w:r>
                <w:r w:rsidR="00921642">
                  <w:rPr>
                    <w:rFonts w:eastAsia="宋体" w:cs="Arial" w:hint="eastAsia"/>
                    <w:color w:val="000000"/>
                  </w:rPr>
                  <w:t>年</w:t>
                </w:r>
                <w:r w:rsidR="00921642">
                  <w:rPr>
                    <w:rFonts w:eastAsia="宋体" w:cs="Arial" w:hint="eastAsia"/>
                    <w:color w:val="000000"/>
                  </w:rPr>
                  <w:t>5</w:t>
                </w:r>
                <w:r w:rsidR="00921642">
                  <w:rPr>
                    <w:rFonts w:eastAsia="宋体" w:cs="Arial" w:hint="eastAsia"/>
                    <w:color w:val="000000"/>
                  </w:rPr>
                  <w:t>月</w:t>
                </w:r>
                <w:r w:rsidR="00921642">
                  <w:rPr>
                    <w:rFonts w:eastAsia="宋体" w:cs="Arial" w:hint="eastAsia"/>
                    <w:color w:val="000000"/>
                  </w:rPr>
                  <w:t>7</w:t>
                </w:r>
                <w:r w:rsidR="009216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0671A8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92164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21642">
              <w:rPr>
                <w:rFonts w:eastAsia="宋体" w:cs="Arial" w:hint="eastAsia"/>
                <w:color w:val="000000"/>
              </w:rPr>
              <w:t>20.1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21642">
              <w:rPr>
                <w:rFonts w:eastAsia="宋体" w:cs="Arial" w:hint="eastAsia"/>
                <w:color w:val="000000"/>
              </w:rPr>
              <w:t>57.5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082"/>
        <w:gridCol w:w="992"/>
        <w:gridCol w:w="992"/>
        <w:gridCol w:w="2180"/>
        <w:gridCol w:w="1134"/>
        <w:gridCol w:w="2055"/>
      </w:tblGrid>
      <w:tr w:rsidR="000654DC" w:rsidTr="00921642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2082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180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921642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2082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Q-011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180" w:type="dxa"/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921642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92164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82466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92164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5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921642" w:rsidTr="00207C1E">
        <w:tc>
          <w:tcPr>
            <w:tcW w:w="9997" w:type="dxa"/>
            <w:vAlign w:val="center"/>
          </w:tcPr>
          <w:p w:rsidR="00921642" w:rsidRPr="00D8150B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进行试验前，将气囊在翻边状态下，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压力后，测量气囊最大外径，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小时的压降，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并做相应记录。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调节气囊高度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压力后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5mm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的振幅、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2.5Hz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的频率进行往返振动，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在常温环境下进行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常温条件试验后，以同样的试验方法，在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常温、高温完成后，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高度在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-30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℃保持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2h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后，以±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、最低振动频率，振动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分钟；然后再振动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分钟，共进行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次。</w:t>
            </w:r>
          </w:p>
          <w:p w:rsidR="00921642" w:rsidRPr="00420C38" w:rsidRDefault="00921642" w:rsidP="00A50485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每隔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万次对最大外径和气密性进行一次测量。</w:t>
            </w:r>
          </w:p>
        </w:tc>
      </w:tr>
      <w:tr w:rsidR="00921642" w:rsidTr="00D12152">
        <w:trPr>
          <w:trHeight w:val="64"/>
        </w:trPr>
        <w:tc>
          <w:tcPr>
            <w:tcW w:w="9997" w:type="dxa"/>
          </w:tcPr>
          <w:p w:rsidR="00921642" w:rsidRDefault="00921642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921642" w:rsidTr="00D12152">
        <w:tc>
          <w:tcPr>
            <w:tcW w:w="9997" w:type="dxa"/>
          </w:tcPr>
          <w:p w:rsidR="00921642" w:rsidRPr="00D8150B" w:rsidRDefault="00921642" w:rsidP="0044467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测量最大外径＜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125mm</w:t>
            </w:r>
          </w:p>
          <w:p w:rsidR="00921642" w:rsidRPr="002C5BCE" w:rsidRDefault="00921642" w:rsidP="00444673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、允许囊皮有轻微龟裂，</w:t>
            </w:r>
            <w:proofErr w:type="gramStart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水检无气泡</w:t>
            </w:r>
            <w:proofErr w:type="gramEnd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，不允许开胶或帘布线外露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gridSpan w:val="2"/>
            <w:vAlign w:val="center"/>
          </w:tcPr>
          <w:tbl>
            <w:tblPr>
              <w:tblStyle w:val="a6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1559"/>
              <w:gridCol w:w="6095"/>
            </w:tblGrid>
            <w:tr w:rsidR="00921642" w:rsidTr="00A50485">
              <w:trPr>
                <w:trHeight w:val="567"/>
              </w:trPr>
              <w:tc>
                <w:tcPr>
                  <w:tcW w:w="1559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5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921642" w:rsidTr="00A50485">
              <w:trPr>
                <w:trHeight w:val="794"/>
              </w:trPr>
              <w:tc>
                <w:tcPr>
                  <w:tcW w:w="1559" w:type="dxa"/>
                  <w:vMerge w:val="restart"/>
                  <w:vAlign w:val="center"/>
                </w:tcPr>
                <w:p w:rsidR="00921642" w:rsidRDefault="001F32DE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气囊总成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921642" w:rsidRDefault="001F32DE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084-001</w:t>
                  </w:r>
                </w:p>
              </w:tc>
              <w:tc>
                <w:tcPr>
                  <w:tcW w:w="6095" w:type="dxa"/>
                  <w:vAlign w:val="center"/>
                </w:tcPr>
                <w:p w:rsidR="00921642" w:rsidRPr="001F32DE" w:rsidRDefault="001F32DE" w:rsidP="001F32DE">
                  <w:pPr>
                    <w:jc w:val="left"/>
                    <w:rPr>
                      <w:rFonts w:ascii="Calibri" w:hAnsi="宋体" w:hint="eastAsia"/>
                      <w:kern w:val="0"/>
                      <w:sz w:val="22"/>
                    </w:rPr>
                  </w:pP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最大外径为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120.62mm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24h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压降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0.05Kpa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。</w:t>
                  </w:r>
                </w:p>
                <w:p w:rsidR="001F32DE" w:rsidRPr="001F32DE" w:rsidRDefault="001F32DE" w:rsidP="001F32DE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、常温进行到</w:t>
                  </w:r>
                  <w:r>
                    <w:rPr>
                      <w:rFonts w:hint="eastAsia"/>
                    </w:rPr>
                    <w:t>909815</w:t>
                  </w:r>
                  <w:r>
                    <w:rPr>
                      <w:rFonts w:hint="eastAsia"/>
                    </w:rPr>
                    <w:t>次时气囊下卡环处漏气。</w:t>
                  </w:r>
                </w:p>
              </w:tc>
            </w:tr>
            <w:tr w:rsidR="00921642" w:rsidTr="00A50485">
              <w:trPr>
                <w:trHeight w:val="794"/>
              </w:trPr>
              <w:tc>
                <w:tcPr>
                  <w:tcW w:w="1559" w:type="dxa"/>
                  <w:vMerge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21642" w:rsidRDefault="00BB7615" w:rsidP="00BB76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084-00</w:t>
                  </w:r>
                  <w:r w:rsid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095" w:type="dxa"/>
                  <w:vAlign w:val="center"/>
                </w:tcPr>
                <w:p w:rsidR="001F32DE" w:rsidRPr="001F32DE" w:rsidRDefault="001F32DE" w:rsidP="001F32DE">
                  <w:pPr>
                    <w:jc w:val="left"/>
                    <w:rPr>
                      <w:rFonts w:ascii="Calibri" w:hAnsi="宋体" w:hint="eastAsia"/>
                      <w:kern w:val="0"/>
                      <w:sz w:val="22"/>
                    </w:rPr>
                  </w:pP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最大外径为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17.26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mm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24h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压降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0.05Kpa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。</w:t>
                  </w:r>
                </w:p>
                <w:p w:rsidR="00921642" w:rsidRDefault="001F32DE" w:rsidP="001F32DE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、常温进行到</w:t>
                  </w:r>
                  <w:r>
                    <w:rPr>
                      <w:rFonts w:hint="eastAsia"/>
                    </w:rPr>
                    <w:t>684262</w:t>
                  </w:r>
                  <w:r>
                    <w:rPr>
                      <w:rFonts w:hint="eastAsia"/>
                    </w:rPr>
                    <w:t>次时</w:t>
                  </w:r>
                  <w:r>
                    <w:rPr>
                      <w:rFonts w:hint="eastAsia"/>
                    </w:rPr>
                    <w:t>囊皮</w:t>
                  </w:r>
                  <w:r>
                    <w:rPr>
                      <w:rFonts w:hint="eastAsia"/>
                    </w:rPr>
                    <w:t>漏气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 w:rsidR="00921642" w:rsidTr="00A50485">
              <w:trPr>
                <w:trHeight w:val="794"/>
              </w:trPr>
              <w:tc>
                <w:tcPr>
                  <w:tcW w:w="1559" w:type="dxa"/>
                  <w:vMerge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21642" w:rsidRDefault="001F32DE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084-003</w:t>
                  </w:r>
                </w:p>
              </w:tc>
              <w:tc>
                <w:tcPr>
                  <w:tcW w:w="6095" w:type="dxa"/>
                  <w:vAlign w:val="center"/>
                </w:tcPr>
                <w:p w:rsidR="001F32DE" w:rsidRPr="001F32DE" w:rsidRDefault="001F32DE" w:rsidP="001F32DE">
                  <w:pPr>
                    <w:jc w:val="left"/>
                    <w:rPr>
                      <w:rFonts w:ascii="Calibri" w:hAnsi="宋体" w:hint="eastAsia"/>
                      <w:kern w:val="0"/>
                      <w:sz w:val="22"/>
                    </w:rPr>
                  </w:pP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最大外径为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15.90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mm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24h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压降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0.05Kpa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。</w:t>
                  </w:r>
                </w:p>
                <w:p w:rsidR="00921642" w:rsidRDefault="001F32DE" w:rsidP="001F32DE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、常温进行到</w:t>
                  </w:r>
                  <w:r>
                    <w:rPr>
                      <w:rFonts w:hint="eastAsia"/>
                    </w:rPr>
                    <w:t>212121</w:t>
                  </w:r>
                  <w:r>
                    <w:rPr>
                      <w:rFonts w:hint="eastAsia"/>
                    </w:rPr>
                    <w:t>次时</w:t>
                  </w:r>
                  <w:r>
                    <w:rPr>
                      <w:rFonts w:hint="eastAsia"/>
                    </w:rPr>
                    <w:t>表皮底部开裂、</w:t>
                  </w:r>
                  <w:r>
                    <w:rPr>
                      <w:rFonts w:hint="eastAsia"/>
                    </w:rPr>
                    <w:t>漏气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</w:tbl>
          <w:p w:rsidR="00AB287F" w:rsidRPr="0092356A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224347" w:rsidTr="00957988">
        <w:tc>
          <w:tcPr>
            <w:tcW w:w="4998" w:type="dxa"/>
          </w:tcPr>
          <w:p w:rsidR="00224347" w:rsidRDefault="00D67C7C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  <w:noProof/>
              </w:rPr>
              <w:lastRenderedPageBreak/>
              <w:pict>
                <v:oval id="_x0000_s1028" style="position:absolute;left:0;text-align:left;margin-left:124.15pt;margin-top:53.7pt;width:66.15pt;height:55.25pt;z-index:251660288;mso-position-horizontal-relative:text;mso-position-vertical-relative:text" filled="f" strokecolor="red"/>
              </w:pict>
            </w:r>
            <w:r w:rsidR="00224347">
              <w:rPr>
                <w:rFonts w:ascii="Calibri" w:eastAsia="宋体" w:hAnsi="Calibri" w:hint="eastAsia"/>
                <w:b/>
              </w:rPr>
              <w:t xml:space="preserve"> </w:t>
            </w:r>
            <w:r w:rsidR="00224347">
              <w:rPr>
                <w:noProof/>
              </w:rPr>
              <w:drawing>
                <wp:inline distT="0" distB="0" distL="0" distR="0" wp14:anchorId="58C9167A" wp14:editId="357038D0">
                  <wp:extent cx="2792556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224347" w:rsidRDefault="00D67C7C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  <w:noProof/>
              </w:rPr>
              <w:pict>
                <v:oval id="_x0000_s1029" style="position:absolute;left:0;text-align:left;margin-left:95.25pt;margin-top:59.55pt;width:66.15pt;height:55.25pt;z-index:251661312;mso-position-horizontal-relative:text;mso-position-vertical-relative:text" filled="f" strokecolor="red"/>
              </w:pict>
            </w:r>
            <w:r w:rsidR="00224347">
              <w:rPr>
                <w:noProof/>
              </w:rPr>
              <w:drawing>
                <wp:inline distT="0" distB="0" distL="0" distR="0" wp14:anchorId="682922AC" wp14:editId="0D240185">
                  <wp:extent cx="2792556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787C7B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67C7C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9235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6197E29A" wp14:editId="2ECAE14F">
                  <wp:extent cx="2792558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7B44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C3CCBAB" wp14:editId="510103EF">
                  <wp:extent cx="2792556" cy="2095236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3A58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248836" wp14:editId="2B8A25E8">
                  <wp:extent cx="2792558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6345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556E0AD" wp14:editId="30F624E4">
                  <wp:extent cx="2792556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224347" w:rsidP="00E13F72">
            <w:pPr>
              <w:ind w:right="-102"/>
              <w:jc w:val="center"/>
              <w:rPr>
                <w:rFonts w:eastAsia="宋体" w:cs="Arial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224347" w:rsidTr="00951C89">
        <w:tc>
          <w:tcPr>
            <w:tcW w:w="2943" w:type="dxa"/>
            <w:vAlign w:val="center"/>
          </w:tcPr>
          <w:p w:rsidR="00224347" w:rsidRPr="00AD4A67" w:rsidRDefault="00224347" w:rsidP="0022434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224347" w:rsidRPr="00933E51" w:rsidRDefault="00224347" w:rsidP="00100C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2.0气囊总成</w:t>
            </w:r>
          </w:p>
        </w:tc>
      </w:tr>
      <w:tr w:rsidR="00224347" w:rsidTr="00951C89">
        <w:tc>
          <w:tcPr>
            <w:tcW w:w="2943" w:type="dxa"/>
            <w:vAlign w:val="center"/>
          </w:tcPr>
          <w:p w:rsidR="00224347" w:rsidRPr="00AD4A67" w:rsidRDefault="00224347" w:rsidP="0022434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224347" w:rsidRPr="00933E51" w:rsidRDefault="00224347" w:rsidP="00224347">
            <w:pPr>
              <w:ind w:right="-102"/>
              <w:jc w:val="center"/>
              <w:rPr>
                <w:rFonts w:ascii="宋体" w:eastAsia="宋体" w:hAnsi="宋体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</w:t>
            </w:r>
            <w:r>
              <w:rPr>
                <w:rFonts w:ascii="宋体" w:hAnsi="宋体" w:hint="eastAsia"/>
                <w:kern w:val="0"/>
                <w:szCs w:val="20"/>
              </w:rPr>
              <w:t>3134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7B" w:rsidRPr="00AB7C5A" w:rsidRDefault="00787C7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787C7B" w:rsidRPr="00AB7C5A" w:rsidRDefault="00787C7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21642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7B" w:rsidRPr="00AB7C5A" w:rsidRDefault="00787C7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787C7B" w:rsidRPr="00AB7C5A" w:rsidRDefault="00787C7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03FBE408" wp14:editId="7167BBBA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CF153C" w:rsidRPr="00CF153C">
      <w:rPr>
        <w:rFonts w:asciiTheme="minorEastAsia" w:hAnsiTheme="minorEastAsia"/>
        <w:sz w:val="21"/>
        <w:szCs w:val="21"/>
      </w:rPr>
      <w:t>GR202</w:t>
    </w:r>
    <w:r w:rsidR="00921642">
      <w:rPr>
        <w:rFonts w:asciiTheme="minorEastAsia" w:hAnsiTheme="minorEastAsia" w:hint="eastAsia"/>
        <w:sz w:val="21"/>
        <w:szCs w:val="21"/>
      </w:rPr>
      <w:t>20424</w:t>
    </w:r>
    <w:r w:rsidR="00CF153C" w:rsidRPr="00CF153C">
      <w:rPr>
        <w:rFonts w:asciiTheme="minorEastAsia" w:hAnsiTheme="minorEastAsia"/>
        <w:sz w:val="21"/>
        <w:szCs w:val="21"/>
      </w:rPr>
      <w:t>SQS</w:t>
    </w:r>
    <w:r w:rsidR="00921642">
      <w:rPr>
        <w:rFonts w:asciiTheme="minorEastAsia" w:hAnsiTheme="minorEastAsia" w:hint="eastAsia"/>
        <w:sz w:val="21"/>
        <w:szCs w:val="21"/>
      </w:rPr>
      <w:t>084</w:t>
    </w:r>
    <w:r w:rsidR="00CF153C" w:rsidRPr="00CF153C">
      <w:rPr>
        <w:rFonts w:asciiTheme="minorEastAsia" w:hAnsiTheme="minorEastAsia"/>
        <w:sz w:val="21"/>
        <w:szCs w:val="21"/>
      </w:rPr>
      <w:t>-0</w:t>
    </w:r>
    <w:r w:rsidR="00921642">
      <w:rPr>
        <w:rFonts w:asciiTheme="minorEastAsia" w:hAnsiTheme="minorEastAsia" w:hint="eastAsia"/>
        <w:sz w:val="21"/>
        <w:szCs w:val="21"/>
      </w:rPr>
      <w:t>213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661B37">
      <w:rPr>
        <w:rFonts w:asciiTheme="minorEastAsia" w:hAnsiTheme="minorEastAsia"/>
        <w:noProof/>
        <w:sz w:val="21"/>
        <w:szCs w:val="21"/>
      </w:rPr>
      <w:t>2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661B37" w:rsidRPr="00661B37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1C564681"/>
    <w:multiLevelType w:val="hybridMultilevel"/>
    <w:tmpl w:val="FC863558"/>
    <w:lvl w:ilvl="0" w:tplc="D65E6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795FFD"/>
    <w:multiLevelType w:val="hybridMultilevel"/>
    <w:tmpl w:val="495CCBDA"/>
    <w:lvl w:ilvl="0" w:tplc="715445F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3D2925"/>
    <w:multiLevelType w:val="hybridMultilevel"/>
    <w:tmpl w:val="3BC07E68"/>
    <w:lvl w:ilvl="0" w:tplc="8CF4CD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0CDF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32DE"/>
    <w:rsid w:val="001F4961"/>
    <w:rsid w:val="001F5FE1"/>
    <w:rsid w:val="0021464A"/>
    <w:rsid w:val="00220E86"/>
    <w:rsid w:val="0022340B"/>
    <w:rsid w:val="00224347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1150B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4673"/>
    <w:rsid w:val="004458F4"/>
    <w:rsid w:val="00461D31"/>
    <w:rsid w:val="00472723"/>
    <w:rsid w:val="004B0C08"/>
    <w:rsid w:val="004B6E9D"/>
    <w:rsid w:val="004C1F21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1B37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16E"/>
    <w:rsid w:val="00715ED9"/>
    <w:rsid w:val="00717D96"/>
    <w:rsid w:val="007751BC"/>
    <w:rsid w:val="00787C7B"/>
    <w:rsid w:val="00795593"/>
    <w:rsid w:val="007D45B5"/>
    <w:rsid w:val="007E50A9"/>
    <w:rsid w:val="007F215F"/>
    <w:rsid w:val="008017DF"/>
    <w:rsid w:val="00810724"/>
    <w:rsid w:val="008171EB"/>
    <w:rsid w:val="00824669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02269"/>
    <w:rsid w:val="00921642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4532A"/>
    <w:rsid w:val="00B7527F"/>
    <w:rsid w:val="00B94EF0"/>
    <w:rsid w:val="00BA169D"/>
    <w:rsid w:val="00BA272D"/>
    <w:rsid w:val="00BA63FC"/>
    <w:rsid w:val="00BA7C90"/>
    <w:rsid w:val="00BB0C8F"/>
    <w:rsid w:val="00BB7615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4BD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67C7C"/>
    <w:rsid w:val="00D75146"/>
    <w:rsid w:val="00D81D0A"/>
    <w:rsid w:val="00DA4578"/>
    <w:rsid w:val="00DC2ADF"/>
    <w:rsid w:val="00DD08C3"/>
    <w:rsid w:val="00DD20C1"/>
    <w:rsid w:val="00DD6209"/>
    <w:rsid w:val="00DE04F0"/>
    <w:rsid w:val="00E055FD"/>
    <w:rsid w:val="00E1391B"/>
    <w:rsid w:val="00E13F72"/>
    <w:rsid w:val="00E143B5"/>
    <w:rsid w:val="00E2221E"/>
    <w:rsid w:val="00E370F5"/>
    <w:rsid w:val="00E541B9"/>
    <w:rsid w:val="00E5699E"/>
    <w:rsid w:val="00E70A76"/>
    <w:rsid w:val="00E77398"/>
    <w:rsid w:val="00EA69FC"/>
    <w:rsid w:val="00EA6BD2"/>
    <w:rsid w:val="00EB161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DA107-77F4-4736-B557-A177299C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241</Words>
  <Characters>1379</Characters>
  <Application>Microsoft Office Word</Application>
  <DocSecurity>0</DocSecurity>
  <Lines>11</Lines>
  <Paragraphs>3</Paragraphs>
  <ScaleCrop>false</ScaleCrop>
  <Company>微软中国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206</cp:revision>
  <dcterms:created xsi:type="dcterms:W3CDTF">2018-05-26T05:55:00Z</dcterms:created>
  <dcterms:modified xsi:type="dcterms:W3CDTF">2022-05-07T05:46:00Z</dcterms:modified>
</cp:coreProperties>
</file>