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湖南光华荣昌汽车部件有限公司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统一社会信用代码：91430211055811476G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589"/>
        <w:gridCol w:w="1437"/>
        <w:gridCol w:w="2353"/>
        <w:gridCol w:w="3051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财务金蝶编码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QAD编码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铭牌资产编码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价值/元（未税）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M31RB主驾靠背检具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THB0190624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M31RB主驾靠背托架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M31RB副驾靠背检具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THB0190607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M31RB副驾靠背托架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M31RB主驾坐垫检具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THB0190608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M31RB主驾坐垫托架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M31RB副驾驶坐垫检具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THB0190604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M31RB副驾驶坐垫托架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M31RB-321921301400-J-01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M31RB靠背左侧调角器检具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M31RB-321921200300-J-01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M31RB主驾靠背骨架主管检具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M31RB-321921200301-J-01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M31RB副驾靠背骨架主体管检具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M31RB-321921300-J-01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M31RB副驾靠背骨架总成检具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M31RB副驾驶员座椅总成检具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M31RB正驾驶员座椅总成检具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THB0190566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M31RB前排头枕检具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THB0190595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M31RB前排头枕托架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发泡模具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HBGH-FP-MJ-383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M31RB正座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30769.23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发泡模具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HBGH-FP-MJ-384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M31RB正背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24786.32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发泡模具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HBGH-FP-MJ-385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M31RB副座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发泡模具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HBGH-FP-MJ-386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M31RB副背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24786.32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发泡模具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M31RB头枕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THB0170341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HT-0180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M31RB上端坐盆-焊胎1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THB0170342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HT-0181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M31RB上端坐盆-焊胎2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模具*M31RB上端坐盆-成型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22123.89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模具*M31RB上端坐盆-落料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模具*M31RB下端坐盆-落料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模具*M31RB下端坐盆-成型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模具*M31RB下端坐盆-冲孔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模具*M31RB上端坐盆-压型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22123.89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模具*M31RB上端坐盆-切边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模具*M31RB上端坐盆总成-侧冲孔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模具*M31RB上端坐盆总成-冲孔+起刺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M31RB解锁拉带底座盖板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M31RB主驾右/副驾左侧罩壳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M31RB支撑杆固定底座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M31RB副驾驶座椅右侧罩壳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56623.93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M31RB主驾驶座椅左侧罩壳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81410.26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M31RB背饰板本体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74358.97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主驾手柄模具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636827.67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货到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15天内</w:t>
      </w:r>
      <w:r>
        <w:rPr>
          <w:rFonts w:hint="eastAsia" w:ascii="仿宋" w:hAnsi="仿宋" w:eastAsia="仿宋" w:cs="宋体"/>
          <w:bCs/>
          <w:kern w:val="0"/>
          <w:sz w:val="24"/>
        </w:rPr>
        <w:t>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  <w:bookmarkStart w:id="1" w:name="_GoBack"/>
      <w:bookmarkEnd w:id="1"/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湖南光华荣昌汽车部件有限公司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河北光华荣昌汽车部件有限公司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beforeLines="50" w:afterLines="50"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合同签订地：</w:t>
      </w:r>
      <w:r>
        <w:rPr>
          <w:rFonts w:hint="eastAsia" w:ascii="仿宋" w:hAnsi="仿宋" w:eastAsia="仿宋"/>
          <w:sz w:val="24"/>
          <w:lang w:eastAsia="zh-CN"/>
        </w:rPr>
        <w:t>河北黄骅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731EC"/>
    <w:rsid w:val="00FF5D5E"/>
    <w:rsid w:val="259C77F7"/>
    <w:rsid w:val="409A5BCE"/>
    <w:rsid w:val="4977360C"/>
    <w:rsid w:val="4D4B6F06"/>
    <w:rsid w:val="65556197"/>
    <w:rsid w:val="66182F68"/>
    <w:rsid w:val="69EC72A7"/>
    <w:rsid w:val="74994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1486</Words>
  <Characters>2423</Characters>
  <Lines>9</Lines>
  <Paragraphs>2</Paragraphs>
  <TotalTime>5</TotalTime>
  <ScaleCrop>false</ScaleCrop>
  <LinksUpToDate>false</LinksUpToDate>
  <CharactersWithSpaces>2632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末末</cp:lastModifiedBy>
  <dcterms:modified xsi:type="dcterms:W3CDTF">2022-05-11T06:53:31Z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0DD659C21EC5484AB42C243893FFCE4F</vt:lpwstr>
  </property>
</Properties>
</file>