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XSpec="center" w:tblpY="706"/>
        <w:tblW w:w="110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2"/>
        <w:gridCol w:w="5347"/>
        <w:gridCol w:w="395"/>
        <w:gridCol w:w="1022"/>
        <w:gridCol w:w="992"/>
        <w:gridCol w:w="14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72" w:type="dxa"/>
            <w:vMerge w:val="restart"/>
            <w:shd w:val="clear" w:color="auto" w:fill="auto"/>
            <w:noWrap/>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857250" cy="790575"/>
                  <wp:effectExtent l="19050" t="0" r="0"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857250" cy="7905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5347" w:type="dxa"/>
            <w:vMerge w:val="restart"/>
            <w:shd w:val="clear" w:color="auto" w:fill="auto"/>
            <w:noWrap/>
            <w:vAlign w:val="center"/>
          </w:tcPr>
          <w:p>
            <w:pPr>
              <w:widowControl/>
              <w:jc w:val="center"/>
              <w:rPr>
                <w:rFonts w:hint="default" w:eastAsia="宋体"/>
                <w:b/>
                <w:sz w:val="28"/>
                <w:szCs w:val="28"/>
                <w:u w:val="single"/>
                <w:lang w:val="en-US" w:eastAsia="zh-CN"/>
              </w:rPr>
            </w:pPr>
            <w:r>
              <w:rPr>
                <w:rFonts w:hint="eastAsia"/>
                <w:b/>
                <w:sz w:val="28"/>
                <w:szCs w:val="28"/>
                <w:u w:val="single"/>
              </w:rPr>
              <w:t>关于</w:t>
            </w:r>
            <w:r>
              <w:rPr>
                <w:rFonts w:hint="eastAsia"/>
                <w:b/>
                <w:sz w:val="28"/>
                <w:szCs w:val="28"/>
                <w:u w:val="single"/>
                <w:lang w:val="en-US" w:eastAsia="zh-CN"/>
              </w:rPr>
              <w:t>福田长沙基地供货事宜的报告</w:t>
            </w:r>
          </w:p>
        </w:tc>
        <w:tc>
          <w:tcPr>
            <w:tcW w:w="395"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裁</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w:t>
            </w:r>
          </w:p>
          <w:p>
            <w:pPr>
              <w:widowControl/>
              <w:jc w:val="center"/>
              <w:rPr>
                <w:rFonts w:ascii="宋体" w:hAnsi="宋体" w:cs="宋体"/>
                <w:b/>
                <w:color w:val="000000"/>
                <w:kern w:val="0"/>
                <w:sz w:val="24"/>
              </w:rPr>
            </w:pPr>
            <w:r>
              <w:rPr>
                <w:rFonts w:hint="eastAsia" w:ascii="宋体" w:hAnsi="宋体" w:cs="宋体"/>
                <w:b/>
                <w:color w:val="000000"/>
                <w:kern w:val="0"/>
                <w:sz w:val="24"/>
              </w:rPr>
              <w:t>决</w:t>
            </w:r>
          </w:p>
        </w:tc>
        <w:tc>
          <w:tcPr>
            <w:tcW w:w="1022" w:type="dxa"/>
            <w:shd w:val="clear" w:color="auto" w:fill="auto"/>
            <w:noWrap/>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noWrap/>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1495" w:type="dxa"/>
            <w:shd w:val="clear" w:color="auto" w:fill="auto"/>
            <w:noWrap/>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72" w:type="dxa"/>
            <w:vMerge w:val="continue"/>
            <w:vAlign w:val="center"/>
          </w:tcPr>
          <w:p>
            <w:pPr>
              <w:widowControl/>
              <w:jc w:val="left"/>
              <w:rPr>
                <w:rFonts w:ascii="宋体" w:hAnsi="宋体" w:cs="宋体"/>
                <w:color w:val="000000"/>
                <w:kern w:val="0"/>
                <w:szCs w:val="21"/>
              </w:rPr>
            </w:pPr>
          </w:p>
        </w:tc>
        <w:tc>
          <w:tcPr>
            <w:tcW w:w="5347" w:type="dxa"/>
            <w:vMerge w:val="continue"/>
            <w:vAlign w:val="center"/>
          </w:tcPr>
          <w:p>
            <w:pPr>
              <w:widowControl/>
              <w:jc w:val="left"/>
              <w:rPr>
                <w:rFonts w:ascii="宋体" w:hAnsi="宋体" w:cs="宋体"/>
                <w:color w:val="000000"/>
                <w:kern w:val="0"/>
                <w:sz w:val="20"/>
                <w:szCs w:val="20"/>
              </w:rPr>
            </w:pPr>
          </w:p>
        </w:tc>
        <w:tc>
          <w:tcPr>
            <w:tcW w:w="395" w:type="dxa"/>
            <w:vMerge w:val="continue"/>
            <w:vAlign w:val="center"/>
          </w:tcPr>
          <w:p>
            <w:pPr>
              <w:widowControl/>
              <w:jc w:val="left"/>
              <w:rPr>
                <w:rFonts w:ascii="宋体" w:hAnsi="宋体" w:cs="宋体"/>
                <w:color w:val="000000"/>
                <w:kern w:val="0"/>
                <w:sz w:val="24"/>
              </w:rPr>
            </w:pPr>
          </w:p>
        </w:tc>
        <w:tc>
          <w:tcPr>
            <w:tcW w:w="1022" w:type="dxa"/>
            <w:shd w:val="clear" w:color="auto" w:fill="auto"/>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滕令超</w:t>
            </w:r>
          </w:p>
        </w:tc>
        <w:tc>
          <w:tcPr>
            <w:tcW w:w="992" w:type="dxa"/>
            <w:shd w:val="clear" w:color="auto" w:fill="auto"/>
            <w:noWrap/>
            <w:vAlign w:val="center"/>
          </w:tcPr>
          <w:p>
            <w:pPr>
              <w:widowControl/>
              <w:jc w:val="center"/>
              <w:rPr>
                <w:rFonts w:ascii="宋体" w:hAnsi="宋体" w:cs="宋体"/>
                <w:color w:val="000000"/>
                <w:kern w:val="0"/>
                <w:sz w:val="24"/>
              </w:rPr>
            </w:pPr>
          </w:p>
        </w:tc>
        <w:tc>
          <w:tcPr>
            <w:tcW w:w="149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119"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       </w:t>
            </w:r>
          </w:p>
        </w:tc>
        <w:tc>
          <w:tcPr>
            <w:tcW w:w="395"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lang w:val="en-US" w:eastAsia="zh-CN"/>
              </w:rPr>
              <w:t>会签</w:t>
            </w:r>
          </w:p>
        </w:tc>
        <w:tc>
          <w:tcPr>
            <w:tcW w:w="3509" w:type="dxa"/>
            <w:gridSpan w:val="3"/>
            <w:vMerge w:val="restart"/>
            <w:shd w:val="clear" w:color="auto" w:fill="auto"/>
            <w:noWrap/>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72"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5347" w:type="dxa"/>
            <w:vAlign w:val="center"/>
          </w:tcPr>
          <w:p>
            <w:pPr>
              <w:widowControl/>
              <w:jc w:val="left"/>
              <w:rPr>
                <w:rFonts w:hint="eastAsia" w:ascii="宋体" w:hAnsi="宋体" w:eastAsia="宋体" w:cs="宋体"/>
                <w:color w:val="000000"/>
                <w:kern w:val="0"/>
                <w:sz w:val="20"/>
                <w:szCs w:val="20"/>
                <w:lang w:eastAsia="zh-CN"/>
              </w:rPr>
            </w:pPr>
            <w:r>
              <w:rPr>
                <w:rFonts w:ascii="宋体" w:hAnsi="宋体" w:cs="宋体"/>
                <w:color w:val="000000"/>
                <w:kern w:val="0"/>
                <w:sz w:val="20"/>
                <w:szCs w:val="20"/>
              </w:rPr>
              <w:t>2</w:t>
            </w:r>
            <w:r>
              <w:rPr>
                <w:rFonts w:hint="eastAsia" w:ascii="宋体" w:hAnsi="宋体" w:cs="宋体"/>
                <w:color w:val="000000"/>
                <w:kern w:val="0"/>
                <w:sz w:val="20"/>
                <w:szCs w:val="20"/>
              </w:rPr>
              <w:t>0</w:t>
            </w:r>
            <w:r>
              <w:rPr>
                <w:rFonts w:hint="eastAsia" w:ascii="宋体" w:hAnsi="宋体" w:cs="宋体"/>
                <w:color w:val="000000"/>
                <w:kern w:val="0"/>
                <w:sz w:val="20"/>
                <w:szCs w:val="20"/>
                <w:lang w:val="en-US" w:eastAsia="zh-CN"/>
              </w:rPr>
              <w:t>22</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8</w:t>
            </w:r>
          </w:p>
        </w:tc>
        <w:tc>
          <w:tcPr>
            <w:tcW w:w="395" w:type="dxa"/>
            <w:vMerge w:val="continue"/>
            <w:vAlign w:val="center"/>
          </w:tcPr>
          <w:p>
            <w:pPr>
              <w:widowControl/>
              <w:jc w:val="left"/>
              <w:rPr>
                <w:rFonts w:ascii="宋体" w:hAnsi="宋体" w:cs="宋体"/>
                <w:color w:val="000000"/>
                <w:kern w:val="0"/>
                <w:sz w:val="20"/>
                <w:szCs w:val="20"/>
              </w:rPr>
            </w:pPr>
          </w:p>
        </w:tc>
        <w:tc>
          <w:tcPr>
            <w:tcW w:w="3509" w:type="dxa"/>
            <w:gridSpan w:val="3"/>
            <w:vMerge w:val="continue"/>
            <w:shd w:val="clear" w:color="auto" w:fill="auto"/>
            <w:noWrap/>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72"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5347" w:type="dxa"/>
            <w:vAlign w:val="center"/>
          </w:tcPr>
          <w:p>
            <w:pPr>
              <w:widowControl/>
              <w:jc w:val="left"/>
              <w:rPr>
                <w:rFonts w:ascii="宋体" w:hAnsi="宋体" w:cs="宋体"/>
                <w:color w:val="000000"/>
                <w:kern w:val="0"/>
                <w:sz w:val="20"/>
                <w:szCs w:val="20"/>
              </w:rPr>
            </w:pPr>
          </w:p>
        </w:tc>
        <w:tc>
          <w:tcPr>
            <w:tcW w:w="395" w:type="dxa"/>
            <w:vMerge w:val="continue"/>
            <w:vAlign w:val="center"/>
          </w:tcPr>
          <w:p>
            <w:pPr>
              <w:widowControl/>
              <w:jc w:val="left"/>
              <w:rPr>
                <w:rFonts w:ascii="宋体" w:hAnsi="宋体" w:cs="宋体"/>
                <w:color w:val="000000"/>
                <w:kern w:val="0"/>
                <w:sz w:val="20"/>
                <w:szCs w:val="20"/>
              </w:rPr>
            </w:pPr>
          </w:p>
        </w:tc>
        <w:tc>
          <w:tcPr>
            <w:tcW w:w="3509" w:type="dxa"/>
            <w:gridSpan w:val="3"/>
            <w:vMerge w:val="continue"/>
            <w:shd w:val="clear" w:color="auto" w:fill="auto"/>
            <w:noWrap/>
            <w:vAlign w:val="center"/>
          </w:tcPr>
          <w:p>
            <w:pPr>
              <w:widowControl/>
              <w:jc w:val="center"/>
              <w:rPr>
                <w:rFonts w:ascii="宋体" w:hAnsi="宋体" w:cs="宋体"/>
                <w:color w:val="000000"/>
                <w:kern w:val="0"/>
                <w:sz w:val="20"/>
                <w:szCs w:val="20"/>
              </w:rPr>
            </w:pPr>
          </w:p>
        </w:tc>
      </w:tr>
    </w:tbl>
    <w:tbl>
      <w:tblPr>
        <w:tblStyle w:val="5"/>
        <w:tblW w:w="1104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04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jc w:val="center"/>
        </w:trPr>
        <w:tc>
          <w:tcPr>
            <w:tcW w:w="11047" w:type="dxa"/>
          </w:tcPr>
          <w:p>
            <w:pPr>
              <w:tabs>
                <w:tab w:val="left" w:pos="5090"/>
              </w:tabs>
              <w:spacing w:line="360" w:lineRule="auto"/>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河北公司、株洲公司领导：</w:t>
            </w:r>
          </w:p>
          <w:p>
            <w:pPr>
              <w:numPr>
                <w:ilvl w:val="0"/>
                <w:numId w:val="1"/>
              </w:numPr>
              <w:tabs>
                <w:tab w:val="left" w:pos="5090"/>
              </w:tabs>
              <w:spacing w:line="360" w:lineRule="auto"/>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客户制造基地变化及主要车型</w:t>
            </w:r>
          </w:p>
          <w:p>
            <w:pPr>
              <w:tabs>
                <w:tab w:val="left" w:pos="5090"/>
              </w:tabs>
              <w:spacing w:line="360" w:lineRule="auto"/>
              <w:ind w:firstLine="480" w:firstLineChars="200"/>
              <w:rPr>
                <w:rFonts w:hint="default" w:asciiTheme="minorEastAsia" w:hAnsiTheme="minorEastAsia" w:eastAsiaTheme="minorEastAsia"/>
                <w:sz w:val="24"/>
                <w:szCs w:val="24"/>
                <w:lang w:val="en-US" w:eastAsia="zh-CN"/>
              </w:rPr>
            </w:pPr>
            <w:r>
              <w:rPr>
                <w:rFonts w:ascii="Arial" w:hAnsi="Arial" w:eastAsia="宋体" w:cs="Arial"/>
                <w:i w:val="0"/>
                <w:iCs w:val="0"/>
                <w:caps w:val="0"/>
                <w:color w:val="333333"/>
                <w:spacing w:val="0"/>
                <w:sz w:val="24"/>
                <w:szCs w:val="24"/>
                <w:shd w:val="clear" w:fill="FFFFFF"/>
              </w:rPr>
              <w:t>福田汽车长沙超级卡车工厂是福田汽车为了充分满足南方以及海外的市场需求，在福田长沙汽车厂制造资源基础上通过全面升级改造，总投资近15亿元，打造的集自动化、智能化、柔性化为一体的南方制造中心。福田汽车南方（长沙）基地将成为福田汽车在中国南方的战略基地，重点建设欧航欧马可高端中轻卡全球创造中心、专用车制造中心、时代轻卡南方制造中心、中轻卡核心零部件物流产业园、南方出口中心及环卫装备制造中心。</w:t>
            </w:r>
            <w:r>
              <w:rPr>
                <w:rFonts w:hint="eastAsia" w:asciiTheme="minorEastAsia" w:hAnsiTheme="minorEastAsia" w:eastAsiaTheme="minorEastAsia"/>
                <w:sz w:val="24"/>
                <w:szCs w:val="24"/>
                <w:lang w:val="en-US" w:eastAsia="zh-CN"/>
              </w:rPr>
              <w:t>福田汽车长沙超级卡车工厂已于2021年11月份实现爬坡生产，到2022年3月份日产达120台。（附主要车型，）</w:t>
            </w:r>
            <w:bookmarkStart w:id="0" w:name="_GoBack"/>
            <w:bookmarkEnd w:id="0"/>
          </w:p>
          <w:tbl>
            <w:tblPr>
              <w:tblStyle w:val="5"/>
              <w:tblpPr w:leftFromText="180" w:rightFromText="180" w:vertAnchor="text" w:horzAnchor="page" w:tblpX="168" w:tblpY="85"/>
              <w:tblOverlap w:val="never"/>
              <w:tblW w:w="10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9"/>
              <w:gridCol w:w="2211"/>
              <w:gridCol w:w="2445"/>
              <w:gridCol w:w="1855"/>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客户车型</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主机厂代码</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default" w:ascii="微软雅黑" w:hAnsi="微软雅黑" w:eastAsia="微软雅黑" w:cs="微软雅黑"/>
                      <w:b/>
                      <w:bCs/>
                      <w:i w:val="0"/>
                      <w:iCs w:val="0"/>
                      <w:color w:val="000000"/>
                      <w:kern w:val="2"/>
                      <w:sz w:val="28"/>
                      <w:szCs w:val="28"/>
                      <w:u w:val="none"/>
                      <w:lang w:val="en-US" w:eastAsia="zh-CN" w:bidi="ar-SA"/>
                    </w:rPr>
                  </w:pPr>
                  <w:r>
                    <w:rPr>
                      <w:rFonts w:hint="eastAsia" w:ascii="微软雅黑" w:hAnsi="微软雅黑" w:eastAsia="微软雅黑" w:cs="微软雅黑"/>
                      <w:b/>
                      <w:bCs/>
                      <w:i w:val="0"/>
                      <w:iCs w:val="0"/>
                      <w:color w:val="000000"/>
                      <w:kern w:val="2"/>
                      <w:sz w:val="28"/>
                      <w:szCs w:val="28"/>
                      <w:u w:val="none"/>
                      <w:lang w:val="en-US" w:eastAsia="zh-CN" w:bidi="ar-SA"/>
                    </w:rPr>
                    <w:t>名称</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b/>
                      <w:bCs/>
                      <w:i w:val="0"/>
                      <w:iCs w:val="0"/>
                      <w:color w:val="000000"/>
                      <w:kern w:val="2"/>
                      <w:sz w:val="28"/>
                      <w:szCs w:val="28"/>
                      <w:u w:val="none"/>
                      <w:lang w:val="en-US" w:eastAsia="zh-CN" w:bidi="ar-SA"/>
                    </w:rPr>
                  </w:pPr>
                  <w:r>
                    <w:rPr>
                      <w:rFonts w:hint="eastAsia" w:ascii="微软雅黑" w:hAnsi="微软雅黑" w:eastAsia="微软雅黑" w:cs="微软雅黑"/>
                      <w:b/>
                      <w:bCs/>
                      <w:i w:val="0"/>
                      <w:iCs w:val="0"/>
                      <w:color w:val="000000"/>
                      <w:kern w:val="0"/>
                      <w:sz w:val="28"/>
                      <w:szCs w:val="28"/>
                      <w:u w:val="none"/>
                      <w:lang w:val="en-US" w:eastAsia="zh-CN" w:bidi="ar"/>
                    </w:rPr>
                    <w:t>QAD代码</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车型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87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M4奥铃轻卡</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L1681010104A0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default"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SLT0001297</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M4轻卡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8"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L1681020112A0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default"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副驾驶员座椅总成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SLT0001299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M4轻卡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L1681020114A0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副驾驶员座椅总成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SLT0001300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M4轻卡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L1681040104A0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default"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卧铺总成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SLT0001301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M4轻卡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L1681040106A0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default"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卧铺总成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SLT0001302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M4轻卡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7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L1681020116A0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副驾驶员座椅总成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SLT0001954</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M4轻卡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87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M4欧航中卡</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M4681010101A0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SHT0000108</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M4中卡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9"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M4681010102A0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SHT0000109</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M4中卡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M4681010104A0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SHT0000110</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M4中卡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M4681020101A0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副驾驶员座椅总成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SHT0000111</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M4中卡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2"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M4681020103A0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副驾驶员座椅总成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SHT0000112</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M4中卡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879"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M4704010200A0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卧铺总成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SHT0000113</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M4中卡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879" w:type="dxa"/>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M4欧马可轻卡</w:t>
                  </w:r>
                </w:p>
              </w:tc>
              <w:tc>
                <w:tcPr>
                  <w:tcW w:w="8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暂未供货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879"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M4时代轻卡</w:t>
                  </w:r>
                </w:p>
              </w:tc>
              <w:tc>
                <w:tcPr>
                  <w:tcW w:w="8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94" w:lineRule="exact"/>
                    <w:jc w:val="left"/>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同奥铃图号</w:t>
                  </w:r>
                </w:p>
              </w:tc>
            </w:tr>
          </w:tbl>
          <w:p>
            <w:pPr>
              <w:numPr>
                <w:ilvl w:val="0"/>
                <w:numId w:val="1"/>
              </w:numPr>
              <w:tabs>
                <w:tab w:val="left" w:pos="5090"/>
              </w:tabs>
              <w:spacing w:line="360" w:lineRule="auto"/>
              <w:rPr>
                <w:rFonts w:hint="eastAsia" w:asciiTheme="minorEastAsia" w:hAnsiTheme="minorEastAsia" w:eastAsiaTheme="minorEastAsia"/>
                <w:b/>
                <w:sz w:val="24"/>
                <w:lang w:val="en-US" w:eastAsia="zh-CN"/>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b/>
                <w:sz w:val="24"/>
                <w:lang w:val="en-US" w:eastAsia="zh-CN"/>
              </w:rPr>
              <w:t>现状</w:t>
            </w:r>
          </w:p>
          <w:p>
            <w:pPr>
              <w:numPr>
                <w:ilvl w:val="0"/>
                <w:numId w:val="2"/>
              </w:numPr>
              <w:tabs>
                <w:tab w:val="left" w:pos="5090"/>
              </w:tabs>
              <w:spacing w:line="360" w:lineRule="auto"/>
              <w:ind w:firstLine="481"/>
              <w:rPr>
                <w:rFonts w:hint="eastAsia" w:asciiTheme="minorEastAsia" w:hAnsiTheme="minorEastAsia" w:eastAsiaTheme="minorEastAsia"/>
                <w:b w:val="0"/>
                <w:bCs/>
                <w:sz w:val="24"/>
                <w:lang w:val="en-US" w:eastAsia="zh-CN"/>
              </w:rPr>
            </w:pPr>
            <w:r>
              <w:rPr>
                <w:rFonts w:hint="eastAsia" w:asciiTheme="minorEastAsia" w:hAnsiTheme="minorEastAsia" w:eastAsiaTheme="minorEastAsia"/>
                <w:b w:val="0"/>
                <w:bCs/>
                <w:sz w:val="24"/>
                <w:lang w:val="en-US" w:eastAsia="zh-CN"/>
              </w:rPr>
              <w:t>现阶段，河北光华荣昌供M4奥铃平台轻卡总系数0.6，供M4时代轻卡系数0.5、供欧航部分出口车。由于客户增加长沙基地后，针对运费、包装费、仓储费等成本的增加，表示不予涨价调整。因此，客户长沙基地的供货一直采取调拨形式即供货到诸城基地，由客户自行安排调拨。</w:t>
            </w:r>
          </w:p>
          <w:p>
            <w:pPr>
              <w:numPr>
                <w:ilvl w:val="0"/>
                <w:numId w:val="2"/>
              </w:numPr>
              <w:tabs>
                <w:tab w:val="left" w:pos="5090"/>
              </w:tabs>
              <w:spacing w:line="360" w:lineRule="auto"/>
              <w:ind w:firstLine="481"/>
              <w:rPr>
                <w:rFonts w:hint="eastAsia" w:asciiTheme="minorEastAsia" w:hAnsiTheme="minorEastAsia" w:eastAsiaTheme="minorEastAsia"/>
                <w:b w:val="0"/>
                <w:bCs/>
                <w:sz w:val="24"/>
                <w:lang w:val="en-US" w:eastAsia="zh-CN"/>
              </w:rPr>
            </w:pPr>
            <w:r>
              <w:rPr>
                <w:rFonts w:hint="eastAsia" w:asciiTheme="minorEastAsia" w:hAnsiTheme="minorEastAsia" w:eastAsiaTheme="minorEastAsia"/>
                <w:b w:val="0"/>
                <w:bCs/>
                <w:sz w:val="24"/>
                <w:lang w:val="en-US" w:eastAsia="zh-CN"/>
              </w:rPr>
              <w:t>竞争对手安排</w:t>
            </w:r>
          </w:p>
          <w:tbl>
            <w:tblPr>
              <w:tblStyle w:val="6"/>
              <w:tblW w:w="10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1"/>
              <w:gridCol w:w="4100"/>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竞品</w:t>
                  </w:r>
                </w:p>
              </w:tc>
              <w:tc>
                <w:tcPr>
                  <w:tcW w:w="4100"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安排</w:t>
                  </w:r>
                </w:p>
              </w:tc>
              <w:tc>
                <w:tcPr>
                  <w:tcW w:w="5870"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普克</w:t>
                  </w:r>
                </w:p>
              </w:tc>
              <w:tc>
                <w:tcPr>
                  <w:tcW w:w="4100"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借用长沙义和闲置场地，属地化建厂</w:t>
                  </w:r>
                </w:p>
              </w:tc>
              <w:tc>
                <w:tcPr>
                  <w:tcW w:w="5870"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试图借机增加系数，已跟总部沟通予以驳回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大舜</w:t>
                  </w:r>
                </w:p>
              </w:tc>
              <w:tc>
                <w:tcPr>
                  <w:tcW w:w="4100"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明确同意属地化建厂</w:t>
                  </w:r>
                </w:p>
              </w:tc>
              <w:tc>
                <w:tcPr>
                  <w:tcW w:w="5870"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已凭借大宗采购欧辉客车以及S1机械座椅进入体系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东宇</w:t>
                  </w:r>
                </w:p>
              </w:tc>
              <w:tc>
                <w:tcPr>
                  <w:tcW w:w="4100"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已属地供货，主供M4欧马可轻卡</w:t>
                  </w:r>
                </w:p>
              </w:tc>
              <w:tc>
                <w:tcPr>
                  <w:tcW w:w="5870" w:type="dxa"/>
                </w:tcPr>
                <w:p>
                  <w:pPr>
                    <w:numPr>
                      <w:numId w:val="0"/>
                    </w:numPr>
                    <w:tabs>
                      <w:tab w:val="left" w:pos="5090"/>
                    </w:tabs>
                    <w:spacing w:line="360" w:lineRule="auto"/>
                    <w:rPr>
                      <w:rFonts w:hint="default" w:asciiTheme="minorEastAsia" w:hAnsiTheme="minorEastAsia" w:eastAsiaTheme="minorEastAsia"/>
                      <w:b w:val="0"/>
                      <w:bCs/>
                      <w:sz w:val="24"/>
                      <w:vertAlign w:val="baseline"/>
                      <w:lang w:val="en-US" w:eastAsia="zh-CN"/>
                    </w:rPr>
                  </w:pPr>
                  <w:r>
                    <w:rPr>
                      <w:rFonts w:hint="eastAsia" w:asciiTheme="minorEastAsia" w:hAnsiTheme="minorEastAsia" w:eastAsiaTheme="minorEastAsia"/>
                      <w:b w:val="0"/>
                      <w:bCs/>
                      <w:sz w:val="24"/>
                      <w:vertAlign w:val="baseline"/>
                      <w:lang w:val="en-US" w:eastAsia="zh-CN"/>
                    </w:rPr>
                    <w:t>公司已开发中期改款平台，预计22年底逐步替代供货</w:t>
                  </w:r>
                </w:p>
              </w:tc>
            </w:tr>
          </w:tbl>
          <w:p>
            <w:pPr>
              <w:numPr>
                <w:ilvl w:val="0"/>
                <w:numId w:val="2"/>
              </w:numPr>
              <w:tabs>
                <w:tab w:val="left" w:pos="5090"/>
              </w:tabs>
              <w:spacing w:line="360" w:lineRule="auto"/>
              <w:ind w:left="0" w:leftChars="0" w:firstLine="481" w:firstLineChars="0"/>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客户生产</w:t>
            </w:r>
          </w:p>
          <w:p>
            <w:pPr>
              <w:numPr>
                <w:numId w:val="0"/>
              </w:numPr>
              <w:tabs>
                <w:tab w:val="left" w:pos="5090"/>
              </w:tabs>
              <w:spacing w:line="360" w:lineRule="auto"/>
              <w:ind w:firstLine="480" w:firstLineChars="200"/>
              <w:rPr>
                <w:rFonts w:hint="default" w:asciiTheme="minorEastAsia" w:hAnsiTheme="minorEastAsia" w:eastAsiaTheme="minorEastAsia"/>
                <w:b w:val="0"/>
                <w:bCs/>
                <w:sz w:val="24"/>
                <w:lang w:val="en-US" w:eastAsia="zh-CN"/>
              </w:rPr>
            </w:pPr>
            <w:r>
              <w:rPr>
                <w:rFonts w:hint="eastAsia" w:asciiTheme="minorEastAsia" w:hAnsiTheme="minorEastAsia" w:eastAsiaTheme="minorEastAsia"/>
                <w:b w:val="0"/>
                <w:bCs/>
                <w:sz w:val="24"/>
                <w:lang w:val="en-US" w:eastAsia="zh-CN"/>
              </w:rPr>
              <w:t>客户采取南北两个基地生产模式，即现有诸城基地仍正常生产（欧马可、奥铃、时代品牌），针对部分南方订单调整到长沙基地生产（主要以以上明细中车型）。</w:t>
            </w:r>
          </w:p>
          <w:p>
            <w:pPr>
              <w:numPr>
                <w:ilvl w:val="0"/>
                <w:numId w:val="1"/>
              </w:numPr>
              <w:tabs>
                <w:tab w:val="left" w:pos="5090"/>
              </w:tabs>
              <w:spacing w:line="360" w:lineRule="auto"/>
              <w:ind w:left="0" w:leftChars="0" w:firstLine="0" w:firstLineChars="0"/>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下一步工作安排</w:t>
            </w:r>
          </w:p>
          <w:p>
            <w:pPr>
              <w:tabs>
                <w:tab w:val="left" w:pos="5090"/>
              </w:tabs>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b w:val="0"/>
                <w:bCs/>
                <w:sz w:val="24"/>
                <w:lang w:val="en-US" w:eastAsia="zh-CN"/>
              </w:rPr>
              <w:t>随着长沙基地生产量的不断爬升，以及主要竞争对手的后续安排。福田总部采购部要求光华荣昌立即推进属地化生产，以满足现阶段长沙基地的交付需求</w:t>
            </w:r>
            <w:r>
              <w:rPr>
                <w:rFonts w:hint="eastAsia" w:asciiTheme="minorEastAsia" w:hAnsiTheme="minorEastAsia" w:eastAsiaTheme="minorEastAsia"/>
                <w:b w:val="0"/>
                <w:bCs/>
                <w:sz w:val="24"/>
              </w:rPr>
              <w:t xml:space="preserve"> </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要求6月30日前要逐步实现属地制造交付，属地规划期间直供满足长沙基地的订单需求。否则，将系数全部调给竞品厂家。</w:t>
            </w:r>
            <w:r>
              <w:rPr>
                <w:rFonts w:hint="eastAsia" w:asciiTheme="minorEastAsia" w:hAnsiTheme="minorEastAsia" w:eastAsiaTheme="minorEastAsia"/>
                <w:sz w:val="24"/>
              </w:rPr>
              <w:t xml:space="preserve">   </w:t>
            </w:r>
          </w:p>
          <w:p>
            <w:pPr>
              <w:tabs>
                <w:tab w:val="left" w:pos="5090"/>
              </w:tabs>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另外，光华荣昌已经取得M4轻卡中期改款座椅，预计22年9月份前实现SOP。该产品将覆盖现有M4轻卡欧马可（1880/2060车身）、奥铃（1880/2060车身），同时时代轻卡M4也将借用。其中欧马可品牌预计22年10月份先行覆盖替换，奥铃品牌预计23年3月份之前实现切换覆盖。</w:t>
            </w:r>
          </w:p>
          <w:p>
            <w:pPr>
              <w:tabs>
                <w:tab w:val="left" w:pos="5090"/>
              </w:tabs>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鉴于以上情况，特请河北公司以及株洲工厂展开株洲属地生产相关策划准备工作，</w:t>
            </w:r>
          </w:p>
          <w:p>
            <w:pPr>
              <w:tabs>
                <w:tab w:val="left" w:pos="5090"/>
              </w:tabs>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妥否？请各单位会签批复。</w:t>
            </w:r>
          </w:p>
          <w:p>
            <w:pPr>
              <w:tabs>
                <w:tab w:val="left" w:pos="5090"/>
              </w:tabs>
              <w:spacing w:line="360" w:lineRule="auto"/>
              <w:ind w:firstLine="480" w:firstLineChars="200"/>
              <w:rPr>
                <w:rFonts w:hint="eastAsia" w:asciiTheme="minorEastAsia" w:hAnsiTheme="minorEastAsia" w:eastAsiaTheme="minorEastAsia"/>
                <w:sz w:val="24"/>
                <w:lang w:val="en-US" w:eastAsia="zh-CN"/>
              </w:rPr>
            </w:pPr>
          </w:p>
          <w:p>
            <w:pPr>
              <w:tabs>
                <w:tab w:val="left" w:pos="5090"/>
              </w:tabs>
              <w:spacing w:line="360" w:lineRule="auto"/>
              <w:ind w:firstLine="480" w:firstLineChars="200"/>
              <w:rPr>
                <w:rFonts w:hint="eastAsia" w:asciiTheme="minorEastAsia" w:hAnsiTheme="minorEastAsia" w:eastAsiaTheme="minorEastAsia"/>
                <w:sz w:val="24"/>
                <w:lang w:val="en-US" w:eastAsia="zh-CN"/>
              </w:rPr>
            </w:pPr>
          </w:p>
          <w:p>
            <w:pPr>
              <w:tabs>
                <w:tab w:val="left" w:pos="5090"/>
              </w:tabs>
              <w:spacing w:line="360" w:lineRule="auto"/>
              <w:ind w:firstLine="480" w:firstLineChars="200"/>
              <w:rPr>
                <w:rFonts w:hint="eastAsia" w:asciiTheme="minorEastAsia" w:hAnsiTheme="minorEastAsia" w:eastAsiaTheme="minorEastAsia"/>
                <w:sz w:val="24"/>
                <w:lang w:val="en-US" w:eastAsia="zh-CN"/>
              </w:rPr>
            </w:pPr>
          </w:p>
          <w:p>
            <w:pPr>
              <w:tabs>
                <w:tab w:val="left" w:pos="5090"/>
              </w:tabs>
              <w:spacing w:line="360" w:lineRule="auto"/>
              <w:ind w:firstLine="480" w:firstLineChars="200"/>
              <w:rPr>
                <w:rFonts w:hint="eastAsia" w:asciiTheme="minorEastAsia" w:hAnsiTheme="minorEastAsia" w:eastAsiaTheme="minorEastAsia"/>
                <w:sz w:val="24"/>
                <w:lang w:val="en-US" w:eastAsia="zh-CN"/>
              </w:rPr>
            </w:pPr>
          </w:p>
          <w:p>
            <w:pPr>
              <w:tabs>
                <w:tab w:val="left" w:pos="5090"/>
              </w:tabs>
              <w:spacing w:line="360" w:lineRule="auto"/>
              <w:ind w:firstLine="480" w:firstLineChars="200"/>
              <w:rPr>
                <w:rFonts w:hint="eastAsia" w:asciiTheme="minorEastAsia" w:hAnsiTheme="minorEastAsia" w:eastAsiaTheme="minorEastAsia"/>
                <w:sz w:val="24"/>
                <w:lang w:val="en-US" w:eastAsia="zh-CN"/>
              </w:rPr>
            </w:pPr>
          </w:p>
          <w:p>
            <w:pPr>
              <w:tabs>
                <w:tab w:val="left" w:pos="5090"/>
              </w:tabs>
              <w:spacing w:line="360" w:lineRule="auto"/>
              <w:ind w:firstLine="480" w:firstLineChars="200"/>
              <w:rPr>
                <w:rFonts w:hint="eastAsia" w:asciiTheme="minorEastAsia" w:hAnsiTheme="minorEastAsia" w:eastAsiaTheme="minorEastAsia"/>
                <w:sz w:val="24"/>
                <w:lang w:val="en-US" w:eastAsia="zh-CN"/>
              </w:rPr>
            </w:pPr>
          </w:p>
          <w:p>
            <w:pPr>
              <w:tabs>
                <w:tab w:val="left" w:pos="5090"/>
              </w:tabs>
              <w:spacing w:line="360" w:lineRule="auto"/>
              <w:ind w:firstLine="480" w:firstLineChars="200"/>
              <w:rPr>
                <w:rFonts w:hint="eastAsia" w:asciiTheme="minorEastAsia" w:hAnsiTheme="minorEastAsia" w:eastAsiaTheme="minorEastAsia"/>
                <w:sz w:val="24"/>
                <w:lang w:val="en-US" w:eastAsia="zh-CN"/>
              </w:rPr>
            </w:pPr>
          </w:p>
          <w:p>
            <w:pPr>
              <w:tabs>
                <w:tab w:val="left" w:pos="5090"/>
              </w:tabs>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                                                             营销中心  滕令超</w:t>
            </w:r>
          </w:p>
          <w:p>
            <w:pPr>
              <w:tabs>
                <w:tab w:val="left" w:pos="509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 xml:space="preserve">                                                         2022年5月28日星期六</w:t>
            </w:r>
            <w:r>
              <w:rPr>
                <w:rFonts w:hint="eastAsia" w:asciiTheme="minorEastAsia" w:hAnsiTheme="minorEastAsia" w:eastAsiaTheme="minorEastAsia"/>
                <w:sz w:val="24"/>
              </w:rPr>
              <w:t xml:space="preserve">                                                           </w:t>
            </w:r>
          </w:p>
          <w:p>
            <w:pPr>
              <w:tabs>
                <w:tab w:val="left" w:pos="5090"/>
              </w:tabs>
              <w:spacing w:line="360" w:lineRule="auto"/>
              <w:rPr>
                <w:rFonts w:asciiTheme="minorEastAsia" w:hAnsiTheme="minorEastAsia" w:eastAsiaTheme="minorEastAsia"/>
                <w:sz w:val="28"/>
                <w:szCs w:val="28"/>
              </w:rPr>
            </w:pPr>
          </w:p>
        </w:tc>
      </w:tr>
    </w:tbl>
    <w:p>
      <w:pPr>
        <w:tabs>
          <w:tab w:val="left" w:pos="1815"/>
        </w:tabs>
        <w:spacing w:line="324" w:lineRule="auto"/>
        <w:ind w:right="-143" w:rightChars="-68"/>
        <w:rPr>
          <w:sz w:val="24"/>
        </w:rPr>
      </w:pPr>
      <w:r>
        <w:rPr>
          <w:rFonts w:hint="eastAsia"/>
          <w:sz w:val="24"/>
        </w:rPr>
        <w:t xml:space="preserve">A4(210×297)               </w:t>
      </w:r>
      <w:r>
        <w:rPr>
          <w:sz w:val="24"/>
        </w:rPr>
        <w:drawing>
          <wp:inline distT="0" distB="0" distL="0" distR="0">
            <wp:extent cx="1885950" cy="2286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1885950" cy="228600"/>
                    </a:xfrm>
                    <a:prstGeom prst="rect">
                      <a:avLst/>
                    </a:prstGeom>
                    <a:noFill/>
                    <a:ln w="9525">
                      <a:noFill/>
                      <a:miter lim="800000"/>
                      <a:headEnd/>
                      <a:tailEnd/>
                    </a:ln>
                  </pic:spPr>
                </pic:pic>
              </a:graphicData>
            </a:graphic>
          </wp:inline>
        </w:drawing>
      </w:r>
      <w:r>
        <w:rPr>
          <w:rFonts w:hint="eastAsia"/>
          <w:sz w:val="24"/>
        </w:rPr>
        <w:t xml:space="preserve">                       NO/1-1</w:t>
      </w:r>
    </w:p>
    <w:sectPr>
      <w:headerReference r:id="rId3" w:type="default"/>
      <w:pgSz w:w="11906" w:h="16838"/>
      <w:pgMar w:top="284"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6C8E4"/>
    <w:multiLevelType w:val="singleLevel"/>
    <w:tmpl w:val="8176C8E4"/>
    <w:lvl w:ilvl="0" w:tentative="0">
      <w:start w:val="1"/>
      <w:numFmt w:val="decimal"/>
      <w:suff w:val="nothing"/>
      <w:lvlText w:val="%1、"/>
      <w:lvlJc w:val="left"/>
    </w:lvl>
  </w:abstractNum>
  <w:abstractNum w:abstractNumId="1">
    <w:nsid w:val="DADA09FB"/>
    <w:multiLevelType w:val="singleLevel"/>
    <w:tmpl w:val="DADA09F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BmY2IxY2Y3YTQ5N2I4N2RhNTc0YjdkNzljOTEzNzYifQ=="/>
  </w:docVars>
  <w:rsids>
    <w:rsidRoot w:val="00172A27"/>
    <w:rsid w:val="00005024"/>
    <w:rsid w:val="000117D2"/>
    <w:rsid w:val="00023E83"/>
    <w:rsid w:val="000335F4"/>
    <w:rsid w:val="00041A89"/>
    <w:rsid w:val="00042D44"/>
    <w:rsid w:val="000438F2"/>
    <w:rsid w:val="00047E1D"/>
    <w:rsid w:val="000521FB"/>
    <w:rsid w:val="00054A5B"/>
    <w:rsid w:val="00054C59"/>
    <w:rsid w:val="00057D30"/>
    <w:rsid w:val="00060123"/>
    <w:rsid w:val="00065430"/>
    <w:rsid w:val="00075169"/>
    <w:rsid w:val="00075BB1"/>
    <w:rsid w:val="0008303F"/>
    <w:rsid w:val="000B08EA"/>
    <w:rsid w:val="000B0AD1"/>
    <w:rsid w:val="000B4A3D"/>
    <w:rsid w:val="000B5595"/>
    <w:rsid w:val="000B5BF0"/>
    <w:rsid w:val="000C28CB"/>
    <w:rsid w:val="000D10AA"/>
    <w:rsid w:val="000D146D"/>
    <w:rsid w:val="000D2391"/>
    <w:rsid w:val="000D3AD2"/>
    <w:rsid w:val="000E4EE7"/>
    <w:rsid w:val="000F3DD8"/>
    <w:rsid w:val="00104374"/>
    <w:rsid w:val="00112387"/>
    <w:rsid w:val="0011739E"/>
    <w:rsid w:val="00120707"/>
    <w:rsid w:val="00131962"/>
    <w:rsid w:val="00136312"/>
    <w:rsid w:val="001612BA"/>
    <w:rsid w:val="00172A27"/>
    <w:rsid w:val="00176AF8"/>
    <w:rsid w:val="00183323"/>
    <w:rsid w:val="00185F42"/>
    <w:rsid w:val="00196507"/>
    <w:rsid w:val="001B5CED"/>
    <w:rsid w:val="001D1419"/>
    <w:rsid w:val="001D26EB"/>
    <w:rsid w:val="001D72D4"/>
    <w:rsid w:val="001E3B82"/>
    <w:rsid w:val="001E4417"/>
    <w:rsid w:val="002041F4"/>
    <w:rsid w:val="00206ACA"/>
    <w:rsid w:val="0021209F"/>
    <w:rsid w:val="00223DE5"/>
    <w:rsid w:val="00231F38"/>
    <w:rsid w:val="00240F82"/>
    <w:rsid w:val="0024665C"/>
    <w:rsid w:val="00250F65"/>
    <w:rsid w:val="00260D8A"/>
    <w:rsid w:val="00263FDF"/>
    <w:rsid w:val="00265A14"/>
    <w:rsid w:val="00265B83"/>
    <w:rsid w:val="00267A34"/>
    <w:rsid w:val="00280E08"/>
    <w:rsid w:val="0028371C"/>
    <w:rsid w:val="002A6850"/>
    <w:rsid w:val="002B1BF1"/>
    <w:rsid w:val="002B3882"/>
    <w:rsid w:val="002B6667"/>
    <w:rsid w:val="002C118D"/>
    <w:rsid w:val="002F3AC3"/>
    <w:rsid w:val="002F4E79"/>
    <w:rsid w:val="002F6F56"/>
    <w:rsid w:val="0031170F"/>
    <w:rsid w:val="0031466A"/>
    <w:rsid w:val="0031589E"/>
    <w:rsid w:val="00317AD3"/>
    <w:rsid w:val="00324689"/>
    <w:rsid w:val="0032733A"/>
    <w:rsid w:val="00332E72"/>
    <w:rsid w:val="0033488A"/>
    <w:rsid w:val="003474D6"/>
    <w:rsid w:val="00365966"/>
    <w:rsid w:val="003728A8"/>
    <w:rsid w:val="00375FE5"/>
    <w:rsid w:val="00380DA2"/>
    <w:rsid w:val="003824F0"/>
    <w:rsid w:val="003867E8"/>
    <w:rsid w:val="003A5277"/>
    <w:rsid w:val="003B5E2F"/>
    <w:rsid w:val="003C19FB"/>
    <w:rsid w:val="003C53E1"/>
    <w:rsid w:val="003C548A"/>
    <w:rsid w:val="003C61B6"/>
    <w:rsid w:val="003E0928"/>
    <w:rsid w:val="003E674E"/>
    <w:rsid w:val="003E7675"/>
    <w:rsid w:val="003F3D26"/>
    <w:rsid w:val="003F69F1"/>
    <w:rsid w:val="00414F53"/>
    <w:rsid w:val="004155DA"/>
    <w:rsid w:val="00415E05"/>
    <w:rsid w:val="0042394C"/>
    <w:rsid w:val="00424FC8"/>
    <w:rsid w:val="00426353"/>
    <w:rsid w:val="00450E5B"/>
    <w:rsid w:val="004510EB"/>
    <w:rsid w:val="00461283"/>
    <w:rsid w:val="0046347B"/>
    <w:rsid w:val="00465F1B"/>
    <w:rsid w:val="00466CE7"/>
    <w:rsid w:val="00471B5C"/>
    <w:rsid w:val="00476811"/>
    <w:rsid w:val="00477287"/>
    <w:rsid w:val="00481CDA"/>
    <w:rsid w:val="00492085"/>
    <w:rsid w:val="00492B01"/>
    <w:rsid w:val="0049387E"/>
    <w:rsid w:val="00493DA8"/>
    <w:rsid w:val="004A0998"/>
    <w:rsid w:val="004A176A"/>
    <w:rsid w:val="004B2158"/>
    <w:rsid w:val="004B5872"/>
    <w:rsid w:val="004B6BAA"/>
    <w:rsid w:val="004D2451"/>
    <w:rsid w:val="004E3233"/>
    <w:rsid w:val="004E6E36"/>
    <w:rsid w:val="004F1138"/>
    <w:rsid w:val="004F73F1"/>
    <w:rsid w:val="00501620"/>
    <w:rsid w:val="00502FB9"/>
    <w:rsid w:val="005135CD"/>
    <w:rsid w:val="00516ABB"/>
    <w:rsid w:val="00521CA8"/>
    <w:rsid w:val="005245D4"/>
    <w:rsid w:val="00525925"/>
    <w:rsid w:val="00526B94"/>
    <w:rsid w:val="00533C84"/>
    <w:rsid w:val="00537F22"/>
    <w:rsid w:val="00555C35"/>
    <w:rsid w:val="005562E9"/>
    <w:rsid w:val="005648C4"/>
    <w:rsid w:val="00564C45"/>
    <w:rsid w:val="00574AF3"/>
    <w:rsid w:val="00574AF8"/>
    <w:rsid w:val="00581704"/>
    <w:rsid w:val="00583593"/>
    <w:rsid w:val="00592C20"/>
    <w:rsid w:val="00595956"/>
    <w:rsid w:val="005A3BF5"/>
    <w:rsid w:val="005B1C0C"/>
    <w:rsid w:val="005B3205"/>
    <w:rsid w:val="005B3C78"/>
    <w:rsid w:val="005B6026"/>
    <w:rsid w:val="005B72F5"/>
    <w:rsid w:val="005B7E4D"/>
    <w:rsid w:val="005C2BF7"/>
    <w:rsid w:val="005F16D5"/>
    <w:rsid w:val="006068C7"/>
    <w:rsid w:val="0061263C"/>
    <w:rsid w:val="0061645D"/>
    <w:rsid w:val="006205DB"/>
    <w:rsid w:val="00635541"/>
    <w:rsid w:val="00637497"/>
    <w:rsid w:val="006378B8"/>
    <w:rsid w:val="0064047E"/>
    <w:rsid w:val="00642A95"/>
    <w:rsid w:val="00654108"/>
    <w:rsid w:val="00655753"/>
    <w:rsid w:val="0066458B"/>
    <w:rsid w:val="00671FDD"/>
    <w:rsid w:val="00684C0B"/>
    <w:rsid w:val="006908B2"/>
    <w:rsid w:val="00691063"/>
    <w:rsid w:val="006A15E3"/>
    <w:rsid w:val="006A748F"/>
    <w:rsid w:val="006C1C0C"/>
    <w:rsid w:val="006C33A2"/>
    <w:rsid w:val="006C4513"/>
    <w:rsid w:val="006D0A9F"/>
    <w:rsid w:val="006D0F71"/>
    <w:rsid w:val="006D286B"/>
    <w:rsid w:val="006E44A9"/>
    <w:rsid w:val="006F3B1D"/>
    <w:rsid w:val="00707805"/>
    <w:rsid w:val="00715437"/>
    <w:rsid w:val="00721691"/>
    <w:rsid w:val="00726C5D"/>
    <w:rsid w:val="007303F3"/>
    <w:rsid w:val="00731D1F"/>
    <w:rsid w:val="00751957"/>
    <w:rsid w:val="00751BB6"/>
    <w:rsid w:val="00753EAA"/>
    <w:rsid w:val="007648B6"/>
    <w:rsid w:val="00767E29"/>
    <w:rsid w:val="007871CF"/>
    <w:rsid w:val="007946F3"/>
    <w:rsid w:val="007978AB"/>
    <w:rsid w:val="007B77EF"/>
    <w:rsid w:val="007C163C"/>
    <w:rsid w:val="007C2E89"/>
    <w:rsid w:val="007C52E5"/>
    <w:rsid w:val="007C74AD"/>
    <w:rsid w:val="007D087A"/>
    <w:rsid w:val="007E2ACE"/>
    <w:rsid w:val="00811FAA"/>
    <w:rsid w:val="00812224"/>
    <w:rsid w:val="00813596"/>
    <w:rsid w:val="008151A1"/>
    <w:rsid w:val="00831CCD"/>
    <w:rsid w:val="00835076"/>
    <w:rsid w:val="0084419E"/>
    <w:rsid w:val="008519A6"/>
    <w:rsid w:val="00852C4B"/>
    <w:rsid w:val="008719F8"/>
    <w:rsid w:val="0087503E"/>
    <w:rsid w:val="00881937"/>
    <w:rsid w:val="00882E5E"/>
    <w:rsid w:val="00884793"/>
    <w:rsid w:val="0088654E"/>
    <w:rsid w:val="00886F23"/>
    <w:rsid w:val="00891F42"/>
    <w:rsid w:val="008D06D6"/>
    <w:rsid w:val="008D7C39"/>
    <w:rsid w:val="008E2FA1"/>
    <w:rsid w:val="00900E97"/>
    <w:rsid w:val="00904D8F"/>
    <w:rsid w:val="009118D5"/>
    <w:rsid w:val="00913E4E"/>
    <w:rsid w:val="0091542F"/>
    <w:rsid w:val="009155C1"/>
    <w:rsid w:val="00926519"/>
    <w:rsid w:val="00932F1D"/>
    <w:rsid w:val="00936776"/>
    <w:rsid w:val="00945C7F"/>
    <w:rsid w:val="00946959"/>
    <w:rsid w:val="0095386D"/>
    <w:rsid w:val="0097089F"/>
    <w:rsid w:val="009852F3"/>
    <w:rsid w:val="00985FF3"/>
    <w:rsid w:val="009A0DBE"/>
    <w:rsid w:val="009B3465"/>
    <w:rsid w:val="009C5B27"/>
    <w:rsid w:val="009D191C"/>
    <w:rsid w:val="009D6A48"/>
    <w:rsid w:val="009F21AA"/>
    <w:rsid w:val="009F4A27"/>
    <w:rsid w:val="00A020E9"/>
    <w:rsid w:val="00A02F5C"/>
    <w:rsid w:val="00A0323D"/>
    <w:rsid w:val="00A12DD0"/>
    <w:rsid w:val="00A15B2B"/>
    <w:rsid w:val="00A17AF6"/>
    <w:rsid w:val="00A2248F"/>
    <w:rsid w:val="00A22B4B"/>
    <w:rsid w:val="00A311A2"/>
    <w:rsid w:val="00A324FE"/>
    <w:rsid w:val="00A325B0"/>
    <w:rsid w:val="00A55DF2"/>
    <w:rsid w:val="00A5684A"/>
    <w:rsid w:val="00A6421E"/>
    <w:rsid w:val="00A64CE9"/>
    <w:rsid w:val="00A73B41"/>
    <w:rsid w:val="00A94750"/>
    <w:rsid w:val="00A94F57"/>
    <w:rsid w:val="00A955D3"/>
    <w:rsid w:val="00A95794"/>
    <w:rsid w:val="00AA3772"/>
    <w:rsid w:val="00AA3DF5"/>
    <w:rsid w:val="00AB6CCE"/>
    <w:rsid w:val="00AC0A26"/>
    <w:rsid w:val="00AC4446"/>
    <w:rsid w:val="00AD427B"/>
    <w:rsid w:val="00AE3493"/>
    <w:rsid w:val="00AF73F8"/>
    <w:rsid w:val="00B0384B"/>
    <w:rsid w:val="00B07965"/>
    <w:rsid w:val="00B12D60"/>
    <w:rsid w:val="00B13089"/>
    <w:rsid w:val="00B13F37"/>
    <w:rsid w:val="00B235D2"/>
    <w:rsid w:val="00B25F16"/>
    <w:rsid w:val="00B2649A"/>
    <w:rsid w:val="00B30499"/>
    <w:rsid w:val="00B32888"/>
    <w:rsid w:val="00B369CF"/>
    <w:rsid w:val="00B41512"/>
    <w:rsid w:val="00B45B71"/>
    <w:rsid w:val="00B46204"/>
    <w:rsid w:val="00B51DF5"/>
    <w:rsid w:val="00B53D7B"/>
    <w:rsid w:val="00B64A5C"/>
    <w:rsid w:val="00B6606B"/>
    <w:rsid w:val="00B709E2"/>
    <w:rsid w:val="00B71989"/>
    <w:rsid w:val="00B9401F"/>
    <w:rsid w:val="00BC4F71"/>
    <w:rsid w:val="00BD4A95"/>
    <w:rsid w:val="00BD64A2"/>
    <w:rsid w:val="00BE236C"/>
    <w:rsid w:val="00BE55A4"/>
    <w:rsid w:val="00BE7ABA"/>
    <w:rsid w:val="00BF6E17"/>
    <w:rsid w:val="00C03CD2"/>
    <w:rsid w:val="00C0569F"/>
    <w:rsid w:val="00C06EF2"/>
    <w:rsid w:val="00C07DFB"/>
    <w:rsid w:val="00C151B0"/>
    <w:rsid w:val="00C30AF5"/>
    <w:rsid w:val="00C31183"/>
    <w:rsid w:val="00C3352D"/>
    <w:rsid w:val="00C33C7D"/>
    <w:rsid w:val="00C43D0D"/>
    <w:rsid w:val="00C46B23"/>
    <w:rsid w:val="00C4720B"/>
    <w:rsid w:val="00C538AE"/>
    <w:rsid w:val="00C57B69"/>
    <w:rsid w:val="00C64BA4"/>
    <w:rsid w:val="00C71689"/>
    <w:rsid w:val="00C81910"/>
    <w:rsid w:val="00C828FC"/>
    <w:rsid w:val="00C84A4B"/>
    <w:rsid w:val="00C96E22"/>
    <w:rsid w:val="00CA1028"/>
    <w:rsid w:val="00CA121E"/>
    <w:rsid w:val="00CA7CFE"/>
    <w:rsid w:val="00CB0278"/>
    <w:rsid w:val="00CE723B"/>
    <w:rsid w:val="00D03BF5"/>
    <w:rsid w:val="00D05A44"/>
    <w:rsid w:val="00D05C94"/>
    <w:rsid w:val="00D1203E"/>
    <w:rsid w:val="00D15C47"/>
    <w:rsid w:val="00D31623"/>
    <w:rsid w:val="00D32084"/>
    <w:rsid w:val="00D461F7"/>
    <w:rsid w:val="00D50CAD"/>
    <w:rsid w:val="00D71A2F"/>
    <w:rsid w:val="00D740DA"/>
    <w:rsid w:val="00D760EB"/>
    <w:rsid w:val="00D81099"/>
    <w:rsid w:val="00D83C21"/>
    <w:rsid w:val="00D90A29"/>
    <w:rsid w:val="00D94050"/>
    <w:rsid w:val="00DB130E"/>
    <w:rsid w:val="00DD404C"/>
    <w:rsid w:val="00DD48FC"/>
    <w:rsid w:val="00DF500A"/>
    <w:rsid w:val="00E06606"/>
    <w:rsid w:val="00E1216E"/>
    <w:rsid w:val="00E17B5C"/>
    <w:rsid w:val="00E17E83"/>
    <w:rsid w:val="00E21B0F"/>
    <w:rsid w:val="00E25C59"/>
    <w:rsid w:val="00E41430"/>
    <w:rsid w:val="00E426AC"/>
    <w:rsid w:val="00E4678D"/>
    <w:rsid w:val="00E57ACD"/>
    <w:rsid w:val="00E61988"/>
    <w:rsid w:val="00E66B2C"/>
    <w:rsid w:val="00E70984"/>
    <w:rsid w:val="00E77CDF"/>
    <w:rsid w:val="00EA58CE"/>
    <w:rsid w:val="00EA6735"/>
    <w:rsid w:val="00EA67B2"/>
    <w:rsid w:val="00EB5C68"/>
    <w:rsid w:val="00ED1810"/>
    <w:rsid w:val="00ED185F"/>
    <w:rsid w:val="00ED5AEA"/>
    <w:rsid w:val="00EE5402"/>
    <w:rsid w:val="00EF4515"/>
    <w:rsid w:val="00EF7801"/>
    <w:rsid w:val="00F03401"/>
    <w:rsid w:val="00F064C7"/>
    <w:rsid w:val="00F32DE1"/>
    <w:rsid w:val="00F339F4"/>
    <w:rsid w:val="00F348BE"/>
    <w:rsid w:val="00F35957"/>
    <w:rsid w:val="00F3776B"/>
    <w:rsid w:val="00F42DF1"/>
    <w:rsid w:val="00F4430B"/>
    <w:rsid w:val="00F44A05"/>
    <w:rsid w:val="00F52A0E"/>
    <w:rsid w:val="00F5547E"/>
    <w:rsid w:val="00F605BD"/>
    <w:rsid w:val="00F63337"/>
    <w:rsid w:val="00F672E5"/>
    <w:rsid w:val="00F73BD7"/>
    <w:rsid w:val="00F760D9"/>
    <w:rsid w:val="00F84988"/>
    <w:rsid w:val="00F90E9A"/>
    <w:rsid w:val="00F92E46"/>
    <w:rsid w:val="00F95379"/>
    <w:rsid w:val="00FA3AE4"/>
    <w:rsid w:val="00FA3C25"/>
    <w:rsid w:val="00FA3FA5"/>
    <w:rsid w:val="00FB2822"/>
    <w:rsid w:val="00FB750D"/>
    <w:rsid w:val="00FC36DC"/>
    <w:rsid w:val="00FF7A5B"/>
    <w:rsid w:val="06AC5AB4"/>
    <w:rsid w:val="085F12F4"/>
    <w:rsid w:val="1B137F43"/>
    <w:rsid w:val="1CB67655"/>
    <w:rsid w:val="2C5D5807"/>
    <w:rsid w:val="30B579BF"/>
    <w:rsid w:val="32881A7C"/>
    <w:rsid w:val="3A6E3D80"/>
    <w:rsid w:val="4A727BF4"/>
    <w:rsid w:val="5B06441D"/>
    <w:rsid w:val="5EEC14BF"/>
    <w:rsid w:val="63EB19D1"/>
    <w:rsid w:val="656A0781"/>
    <w:rsid w:val="69504B68"/>
    <w:rsid w:val="732125E8"/>
    <w:rsid w:val="73B61051"/>
    <w:rsid w:val="7A2C4E83"/>
    <w:rsid w:val="7C24061E"/>
    <w:rsid w:val="7E1A2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rPr>
  </w:style>
  <w:style w:type="character" w:customStyle="1" w:styleId="9">
    <w:name w:val="页眉 Char"/>
    <w:basedOn w:val="7"/>
    <w:link w:val="4"/>
    <w:uiPriority w:val="0"/>
    <w:rPr>
      <w:sz w:val="18"/>
      <w:szCs w:val="18"/>
    </w:rPr>
  </w:style>
  <w:style w:type="character" w:customStyle="1" w:styleId="10">
    <w:name w:val="批注框文本 Char"/>
    <w:basedOn w:val="7"/>
    <w:link w:val="2"/>
    <w:uiPriority w:val="0"/>
    <w:rPr>
      <w:rFonts w:ascii="Times New Roman" w:hAnsi="Times New Roman" w:eastAsia="宋体" w:cs="Times New Roman"/>
      <w:sz w:val="18"/>
      <w:szCs w:val="18"/>
    </w:rPr>
  </w:style>
  <w:style w:type="character" w:customStyle="1" w:styleId="11">
    <w:name w:val="页脚 Char"/>
    <w:basedOn w:val="7"/>
    <w:link w:val="3"/>
    <w:uiPriority w:val="0"/>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9F75-D1B5-4D3F-934C-FAF2DC2069E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1126</Words>
  <Characters>1466</Characters>
  <Lines>9</Lines>
  <Paragraphs>2</Paragraphs>
  <TotalTime>8</TotalTime>
  <ScaleCrop>false</ScaleCrop>
  <LinksUpToDate>false</LinksUpToDate>
  <CharactersWithSpaces>1732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2016-08-09T01:54:00Z</dcterms:created>
  <dc:creator>侯永旭</dc:creator>
  <cp:lastModifiedBy>WPS_1649308755</cp:lastModifiedBy>
  <cp:lastPrinted>2016-08-29T02:14:00Z</cp:lastPrinted>
  <dcterms:modified xsi:type="dcterms:W3CDTF">2022-05-28T06:01:24Z</dcterms:modified>
  <dc:title>侯永旭</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D81E18A6B8F44AFDA751CBC46840A72D</vt:lpwstr>
  </property>
</Properties>
</file>