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高调耐久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63600" cy="447040"/>
                  <wp:effectExtent l="0" t="0" r="12700" b="10160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高调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JA 6800-B90-1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23.5</w:t>
            </w:r>
            <w:r>
              <w:rPr>
                <w:rFonts w:hint="eastAsia" w:eastAsia="宋体" w:cs="Arial"/>
                <w:color w:val="000000"/>
              </w:rPr>
              <w:t>℃；湿度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81"/>
        <w:gridCol w:w="982"/>
        <w:gridCol w:w="1690"/>
        <w:gridCol w:w="1846"/>
        <w:gridCol w:w="1186"/>
        <w:gridCol w:w="20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把座椅固定在试验台上。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将座椅滑轨、靠背角调整至设计基准位置。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将座椅调节至最低位置，将75kg的假人或加载块均匀放置在座垫上。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将座椅解锁后调节至最高位置，将高度调节器锁止。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将高度调节器解锁后，将座椅从最高位置调节至最低位置，将高度调节器锁止。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将4~5的操作作为一个循环，重复进行。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 xml:space="preserve">对于气动式高调，除去锁止和解锁的操作外，其余试验步骤同上。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1.座椅总成高调机构进行10000次循环后，座椅高调调节功能工作正常。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544"/>
              <w:gridCol w:w="66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6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5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101-005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座椅总成高调机构进行10000次循环后，座椅高调调节功能工作正常。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291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044A7"/>
    <w:multiLevelType w:val="singleLevel"/>
    <w:tmpl w:val="1A504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BCD72D1"/>
    <w:rsid w:val="19071C16"/>
    <w:rsid w:val="38EE6951"/>
    <w:rsid w:val="40395C2A"/>
    <w:rsid w:val="44E85EE8"/>
    <w:rsid w:val="4ED24D0D"/>
    <w:rsid w:val="4FC16C0C"/>
    <w:rsid w:val="7BD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3</TotalTime>
  <ScaleCrop>false</ScaleCrop>
  <LinksUpToDate>false</LinksUpToDate>
  <CharactersWithSpaces>1353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2022-06-01T00:49:11Z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C2D44124BE844EA7B7D98BDB9F4CE5B2</vt:lpwstr>
  </property>
</Properties>
</file>