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52"/>
          <w:lang w:eastAsia="zh-CN"/>
        </w:rPr>
      </w:pPr>
      <w:r>
        <w:rPr>
          <w:rFonts w:hint="eastAsia"/>
          <w:sz w:val="44"/>
          <w:szCs w:val="52"/>
          <w:lang w:eastAsia="zh-CN"/>
        </w:rPr>
        <w:t>采购合同</w:t>
      </w:r>
    </w:p>
    <w:p>
      <w:pPr>
        <w:rPr>
          <w:rFonts w:hint="eastAsia"/>
          <w:lang w:val="en-US" w:eastAsia="zh-CN"/>
        </w:rPr>
      </w:pPr>
      <w:r>
        <w:rPr>
          <w:rFonts w:hint="eastAsia"/>
          <w:lang w:eastAsia="zh-CN"/>
        </w:rPr>
        <w:t>需方（甲方）：</w:t>
      </w:r>
      <w:r>
        <w:rPr>
          <w:rFonts w:hint="eastAsia"/>
          <w:lang w:val="en-US" w:eastAsia="zh-CN"/>
        </w:rPr>
        <w:t>成都光华智能汽车部件有限公司                   签订地点：</w:t>
      </w:r>
    </w:p>
    <w:p>
      <w:pPr>
        <w:rPr>
          <w:rFonts w:hint="eastAsia"/>
          <w:lang w:val="en-US" w:eastAsia="zh-CN"/>
        </w:rPr>
      </w:pPr>
      <w:r>
        <w:rPr>
          <w:rFonts w:hint="eastAsia"/>
          <w:lang w:val="en-US" w:eastAsia="zh-CN"/>
        </w:rPr>
        <w:t>供方（乙方）：成都金佰惠机电设备有限公司                       签订时间：</w:t>
      </w:r>
    </w:p>
    <w:p>
      <w:pPr>
        <w:rPr>
          <w:rFonts w:hint="eastAsia"/>
          <w:lang w:val="en-US" w:eastAsia="zh-CN"/>
        </w:rPr>
      </w:pPr>
      <w:r>
        <w:rPr>
          <w:rFonts w:hint="eastAsia"/>
          <w:lang w:val="en-US" w:eastAsia="zh-CN"/>
        </w:rPr>
        <w:t>第一条：标的、数量、价款及交（提）货时间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03"/>
        <w:gridCol w:w="1109"/>
        <w:gridCol w:w="1109"/>
        <w:gridCol w:w="1167"/>
        <w:gridCol w:w="1167"/>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pPr>
              <w:jc w:val="center"/>
              <w:rPr>
                <w:rFonts w:hint="default"/>
                <w:vertAlign w:val="baseline"/>
                <w:lang w:val="en-US" w:eastAsia="zh-CN"/>
              </w:rPr>
            </w:pPr>
            <w:r>
              <w:rPr>
                <w:rFonts w:hint="eastAsia"/>
                <w:vertAlign w:val="baseline"/>
                <w:lang w:val="en-US" w:eastAsia="zh-CN"/>
              </w:rPr>
              <w:t>标的名称</w:t>
            </w:r>
          </w:p>
        </w:tc>
        <w:tc>
          <w:tcPr>
            <w:tcW w:w="1703" w:type="dxa"/>
          </w:tcPr>
          <w:p>
            <w:pPr>
              <w:jc w:val="center"/>
              <w:rPr>
                <w:rFonts w:hint="default"/>
                <w:vertAlign w:val="baseline"/>
                <w:lang w:val="en-US" w:eastAsia="zh-CN"/>
              </w:rPr>
            </w:pPr>
            <w:r>
              <w:rPr>
                <w:rFonts w:hint="eastAsia"/>
                <w:vertAlign w:val="baseline"/>
                <w:lang w:val="en-US" w:eastAsia="zh-CN"/>
              </w:rPr>
              <w:t>描述</w:t>
            </w:r>
          </w:p>
        </w:tc>
        <w:tc>
          <w:tcPr>
            <w:tcW w:w="1109" w:type="dxa"/>
          </w:tcPr>
          <w:p>
            <w:pPr>
              <w:jc w:val="center"/>
              <w:rPr>
                <w:rFonts w:hint="default"/>
                <w:vertAlign w:val="baseline"/>
                <w:lang w:val="en-US" w:eastAsia="zh-CN"/>
              </w:rPr>
            </w:pPr>
            <w:r>
              <w:rPr>
                <w:rFonts w:hint="eastAsia"/>
                <w:vertAlign w:val="baseline"/>
                <w:lang w:val="en-US" w:eastAsia="zh-CN"/>
              </w:rPr>
              <w:t>计量单位</w:t>
            </w:r>
          </w:p>
        </w:tc>
        <w:tc>
          <w:tcPr>
            <w:tcW w:w="1109" w:type="dxa"/>
          </w:tcPr>
          <w:p>
            <w:pPr>
              <w:jc w:val="center"/>
              <w:rPr>
                <w:rFonts w:hint="default"/>
                <w:vertAlign w:val="baseline"/>
                <w:lang w:val="en-US" w:eastAsia="zh-CN"/>
              </w:rPr>
            </w:pPr>
            <w:r>
              <w:rPr>
                <w:rFonts w:hint="eastAsia"/>
                <w:vertAlign w:val="baseline"/>
                <w:lang w:val="en-US" w:eastAsia="zh-CN"/>
              </w:rPr>
              <w:t>数量</w:t>
            </w:r>
          </w:p>
        </w:tc>
        <w:tc>
          <w:tcPr>
            <w:tcW w:w="1167" w:type="dxa"/>
          </w:tcPr>
          <w:p>
            <w:pPr>
              <w:jc w:val="center"/>
              <w:rPr>
                <w:rFonts w:hint="default"/>
                <w:vertAlign w:val="baseline"/>
                <w:lang w:val="en-US" w:eastAsia="zh-CN"/>
              </w:rPr>
            </w:pPr>
            <w:r>
              <w:rPr>
                <w:rFonts w:hint="eastAsia"/>
                <w:vertAlign w:val="baseline"/>
                <w:lang w:val="en-US" w:eastAsia="zh-CN"/>
              </w:rPr>
              <w:t>单价（元）</w:t>
            </w:r>
          </w:p>
        </w:tc>
        <w:tc>
          <w:tcPr>
            <w:tcW w:w="1167" w:type="dxa"/>
          </w:tcPr>
          <w:p>
            <w:pPr>
              <w:jc w:val="center"/>
              <w:rPr>
                <w:rFonts w:hint="default"/>
                <w:vertAlign w:val="baseline"/>
                <w:lang w:val="en-US" w:eastAsia="zh-CN"/>
              </w:rPr>
            </w:pPr>
            <w:r>
              <w:rPr>
                <w:rFonts w:hint="eastAsia"/>
                <w:vertAlign w:val="baseline"/>
                <w:lang w:val="en-US" w:eastAsia="zh-CN"/>
              </w:rPr>
              <w:t>合计金额（元）</w:t>
            </w:r>
          </w:p>
        </w:tc>
        <w:tc>
          <w:tcPr>
            <w:tcW w:w="1129" w:type="dxa"/>
          </w:tcPr>
          <w:p>
            <w:pPr>
              <w:jc w:val="center"/>
              <w:rPr>
                <w:rFonts w:hint="default"/>
                <w:vertAlign w:val="baseline"/>
                <w:lang w:val="en-US" w:eastAsia="zh-CN"/>
              </w:rPr>
            </w:pPr>
            <w:r>
              <w:rPr>
                <w:rFonts w:hint="eastAsia"/>
                <w:vertAlign w:val="baseline"/>
                <w:lang w:val="en-US" w:eastAsia="zh-CN"/>
              </w:rPr>
              <w:t>交(提)货时间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pPr>
              <w:rPr>
                <w:rFonts w:hint="default"/>
                <w:vertAlign w:val="baseline"/>
                <w:lang w:val="en-US" w:eastAsia="zh-CN"/>
              </w:rPr>
            </w:pPr>
            <w:r>
              <w:rPr>
                <w:rFonts w:hint="eastAsia"/>
                <w:vertAlign w:val="baseline"/>
                <w:lang w:val="en-US" w:eastAsia="zh-CN"/>
              </w:rPr>
              <w:t>彩钢瓦房</w:t>
            </w:r>
          </w:p>
        </w:tc>
        <w:tc>
          <w:tcPr>
            <w:tcW w:w="1703" w:type="dxa"/>
          </w:tcPr>
          <w:p>
            <w:pPr>
              <w:jc w:val="center"/>
              <w:rPr>
                <w:rFonts w:hint="eastAsia"/>
                <w:vertAlign w:val="baseline"/>
                <w:lang w:val="en-US" w:eastAsia="zh-CN"/>
              </w:rPr>
            </w:pPr>
            <w:r>
              <w:rPr>
                <w:rFonts w:hint="eastAsia"/>
                <w:vertAlign w:val="baseline"/>
                <w:lang w:val="en-US" w:eastAsia="zh-CN"/>
              </w:rPr>
              <w:t>非标</w:t>
            </w:r>
          </w:p>
          <w:p>
            <w:pPr>
              <w:jc w:val="center"/>
              <w:rPr>
                <w:rFonts w:hint="default"/>
                <w:vertAlign w:val="baseline"/>
                <w:lang w:val="en-US" w:eastAsia="zh-CN"/>
              </w:rPr>
            </w:pPr>
            <w:r>
              <w:rPr>
                <w:rFonts w:hint="eastAsia"/>
                <w:vertAlign w:val="baseline"/>
                <w:lang w:val="en-US" w:eastAsia="zh-CN"/>
              </w:rPr>
              <w:t>7800*8100*3000</w:t>
            </w:r>
          </w:p>
        </w:tc>
        <w:tc>
          <w:tcPr>
            <w:tcW w:w="1109" w:type="dxa"/>
          </w:tcPr>
          <w:p>
            <w:pPr>
              <w:jc w:val="center"/>
              <w:rPr>
                <w:rFonts w:hint="default"/>
                <w:vertAlign w:val="baseline"/>
                <w:lang w:val="en-US" w:eastAsia="zh-CN"/>
              </w:rPr>
            </w:pPr>
            <w:r>
              <w:rPr>
                <w:rFonts w:hint="eastAsia"/>
                <w:vertAlign w:val="baseline"/>
                <w:lang w:val="en-US" w:eastAsia="zh-CN"/>
              </w:rPr>
              <w:t>间</w:t>
            </w:r>
          </w:p>
        </w:tc>
        <w:tc>
          <w:tcPr>
            <w:tcW w:w="1109" w:type="dxa"/>
          </w:tcPr>
          <w:p>
            <w:pPr>
              <w:jc w:val="center"/>
              <w:rPr>
                <w:rFonts w:hint="default"/>
                <w:vertAlign w:val="baseline"/>
                <w:lang w:val="en-US" w:eastAsia="zh-CN"/>
              </w:rPr>
            </w:pPr>
            <w:r>
              <w:rPr>
                <w:rFonts w:hint="eastAsia"/>
                <w:vertAlign w:val="baseline"/>
                <w:lang w:val="en-US" w:eastAsia="zh-CN"/>
              </w:rPr>
              <w:t>1</w:t>
            </w:r>
          </w:p>
        </w:tc>
        <w:tc>
          <w:tcPr>
            <w:tcW w:w="1167" w:type="dxa"/>
          </w:tcPr>
          <w:p>
            <w:pPr>
              <w:jc w:val="center"/>
              <w:rPr>
                <w:rFonts w:hint="default"/>
                <w:vertAlign w:val="baseline"/>
                <w:lang w:val="en-US" w:eastAsia="zh-CN"/>
              </w:rPr>
            </w:pPr>
            <w:r>
              <w:rPr>
                <w:rFonts w:hint="eastAsia"/>
                <w:vertAlign w:val="baseline"/>
                <w:lang w:val="en-US" w:eastAsia="zh-CN"/>
              </w:rPr>
              <w:t>9800</w:t>
            </w:r>
          </w:p>
        </w:tc>
        <w:tc>
          <w:tcPr>
            <w:tcW w:w="1167" w:type="dxa"/>
          </w:tcPr>
          <w:p>
            <w:pPr>
              <w:jc w:val="center"/>
              <w:rPr>
                <w:rFonts w:hint="default"/>
                <w:vertAlign w:val="baseline"/>
                <w:lang w:val="en-US" w:eastAsia="zh-CN"/>
              </w:rPr>
            </w:pPr>
            <w:r>
              <w:rPr>
                <w:rFonts w:hint="eastAsia"/>
                <w:vertAlign w:val="baseline"/>
                <w:lang w:val="en-US" w:eastAsia="zh-CN"/>
              </w:rPr>
              <w:t>9800</w:t>
            </w:r>
          </w:p>
        </w:tc>
        <w:tc>
          <w:tcPr>
            <w:tcW w:w="1129" w:type="dxa"/>
          </w:tcPr>
          <w:p>
            <w:pPr>
              <w:rPr>
                <w:rFonts w:hint="default"/>
                <w:vertAlign w:val="baseline"/>
                <w:lang w:val="en-US" w:eastAsia="zh-CN"/>
              </w:rPr>
            </w:pPr>
            <w:r>
              <w:rPr>
                <w:rFonts w:hint="eastAsia"/>
                <w:vertAlign w:val="baseline"/>
                <w:lang w:val="en-US" w:eastAsia="zh-CN"/>
              </w:rPr>
              <w:t>合同生效后一个月内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tcPr>
          <w:p>
            <w:pPr>
              <w:rPr>
                <w:rFonts w:hint="eastAsia"/>
                <w:vertAlign w:val="baseline"/>
                <w:lang w:val="en-US" w:eastAsia="zh-CN"/>
              </w:rPr>
            </w:pPr>
            <w:r>
              <w:rPr>
                <w:rFonts w:hint="eastAsia"/>
                <w:vertAlign w:val="baseline"/>
                <w:lang w:val="en-US" w:eastAsia="zh-CN"/>
              </w:rPr>
              <w:t>合计含3%增值税（小写）：</w:t>
            </w:r>
          </w:p>
        </w:tc>
        <w:tc>
          <w:tcPr>
            <w:tcW w:w="5681" w:type="dxa"/>
            <w:gridSpan w:val="5"/>
          </w:tcPr>
          <w:p>
            <w:pPr>
              <w:rPr>
                <w:rFonts w:hint="default"/>
                <w:vertAlign w:val="baseline"/>
                <w:lang w:val="en-US" w:eastAsia="zh-CN"/>
              </w:rPr>
            </w:pPr>
            <w:r>
              <w:rPr>
                <w:rFonts w:hint="eastAsia"/>
                <w:vertAlign w:val="baseline"/>
                <w:lang w:val="en-US" w:eastAsia="zh-CN"/>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tcPr>
          <w:p>
            <w:pPr>
              <w:rPr>
                <w:rFonts w:hint="default"/>
                <w:vertAlign w:val="baseline"/>
                <w:lang w:val="en-US" w:eastAsia="zh-CN"/>
              </w:rPr>
            </w:pPr>
            <w:r>
              <w:rPr>
                <w:rFonts w:hint="eastAsia"/>
                <w:vertAlign w:val="baseline"/>
                <w:lang w:val="en-US" w:eastAsia="zh-CN"/>
              </w:rPr>
              <w:t>合计含3%增值税（大写）：</w:t>
            </w:r>
          </w:p>
        </w:tc>
        <w:tc>
          <w:tcPr>
            <w:tcW w:w="5681" w:type="dxa"/>
            <w:gridSpan w:val="5"/>
          </w:tcPr>
          <w:p>
            <w:pPr>
              <w:rPr>
                <w:rFonts w:hint="eastAsia"/>
                <w:vertAlign w:val="baseline"/>
                <w:lang w:val="en-US" w:eastAsia="zh-CN"/>
              </w:rPr>
            </w:pPr>
            <w:r>
              <w:rPr>
                <w:rFonts w:hint="eastAsia"/>
                <w:vertAlign w:val="baseline"/>
                <w:lang w:val="en-US" w:eastAsia="zh-CN"/>
              </w:rPr>
              <w:t>玖仟捌佰元整</w:t>
            </w:r>
          </w:p>
        </w:tc>
      </w:tr>
    </w:tbl>
    <w:p>
      <w:pPr>
        <w:rPr>
          <w:rFonts w:hint="eastAsia"/>
          <w:lang w:val="en-US" w:eastAsia="zh-CN"/>
        </w:rPr>
      </w:pPr>
      <w:r>
        <w:rPr>
          <w:rFonts w:hint="eastAsia"/>
          <w:lang w:val="en-US" w:eastAsia="zh-CN"/>
        </w:rPr>
        <w:t>第二条：技术要求及标准：严格按照甲方与乙方确认提供的图纸、报价和合同执行。</w:t>
      </w:r>
    </w:p>
    <w:p>
      <w:pPr>
        <w:rPr>
          <w:rFonts w:hint="eastAsia"/>
          <w:lang w:val="en-US" w:eastAsia="zh-CN"/>
        </w:rPr>
      </w:pPr>
      <w:r>
        <w:rPr>
          <w:rFonts w:hint="eastAsia"/>
          <w:lang w:val="en-US" w:eastAsia="zh-CN"/>
        </w:rPr>
        <w:t>第三条：供方对质量负责的条件及期限：验收合格之日起质保期为1年，若因产品质量问题（除人为因素外），乙方承担责任。</w:t>
      </w:r>
    </w:p>
    <w:p>
      <w:pPr>
        <w:rPr>
          <w:rFonts w:hint="eastAsia"/>
          <w:lang w:val="en-US" w:eastAsia="zh-CN"/>
        </w:rPr>
      </w:pPr>
      <w:r>
        <w:rPr>
          <w:rFonts w:hint="eastAsia"/>
          <w:lang w:val="en-US" w:eastAsia="zh-CN"/>
        </w:rPr>
        <w:t>第四条：双方职责</w:t>
      </w:r>
    </w:p>
    <w:p>
      <w:pPr>
        <w:rPr>
          <w:rFonts w:hint="eastAsia"/>
          <w:lang w:val="en-US" w:eastAsia="zh-CN"/>
        </w:rPr>
      </w:pPr>
      <w:r>
        <w:rPr>
          <w:rFonts w:hint="eastAsia"/>
          <w:lang w:val="en-US" w:eastAsia="zh-CN"/>
        </w:rPr>
        <w:t xml:space="preserve">        </w:t>
      </w:r>
      <w:r>
        <w:rPr>
          <w:rFonts w:hint="eastAsia"/>
          <w:u w:val="single"/>
          <w:lang w:val="en-US" w:eastAsia="zh-CN"/>
        </w:rPr>
        <w:t>甲方职责</w:t>
      </w:r>
      <w:r>
        <w:rPr>
          <w:rFonts w:hint="eastAsia"/>
          <w:lang w:val="en-US" w:eastAsia="zh-CN"/>
        </w:rPr>
        <w:t>：</w:t>
      </w:r>
    </w:p>
    <w:p>
      <w:pPr>
        <w:numPr>
          <w:ilvl w:val="0"/>
          <w:numId w:val="1"/>
        </w:numPr>
        <w:ind w:left="840" w:leftChars="0" w:firstLine="0" w:firstLineChars="0"/>
        <w:rPr>
          <w:rFonts w:hint="eastAsia"/>
          <w:lang w:val="en-US" w:eastAsia="zh-CN"/>
        </w:rPr>
      </w:pPr>
      <w:r>
        <w:rPr>
          <w:rFonts w:hint="eastAsia"/>
          <w:lang w:val="en-US" w:eastAsia="zh-CN"/>
        </w:rPr>
        <w:t>提供具备施工条件的施工场地等必要的施工条件（包括不限于办理好各类审批手续）</w:t>
      </w:r>
      <w:bookmarkStart w:id="0" w:name="_GoBack"/>
      <w:bookmarkEnd w:id="0"/>
    </w:p>
    <w:p>
      <w:pPr>
        <w:numPr>
          <w:ilvl w:val="0"/>
          <w:numId w:val="1"/>
        </w:numPr>
        <w:ind w:left="840" w:leftChars="0" w:firstLine="0" w:firstLineChars="0"/>
        <w:rPr>
          <w:rFonts w:hint="default"/>
          <w:lang w:val="en-US" w:eastAsia="zh-CN"/>
        </w:rPr>
      </w:pPr>
      <w:r>
        <w:rPr>
          <w:rFonts w:hint="eastAsia"/>
          <w:lang w:val="en-US" w:eastAsia="zh-CN"/>
        </w:rPr>
        <w:t>开工前、接通施工现场水源、电源以及运输道路。</w:t>
      </w:r>
    </w:p>
    <w:p>
      <w:pPr>
        <w:numPr>
          <w:ilvl w:val="0"/>
          <w:numId w:val="1"/>
        </w:numPr>
        <w:ind w:left="840" w:leftChars="0" w:firstLine="0" w:firstLineChars="0"/>
        <w:rPr>
          <w:rFonts w:hint="default"/>
          <w:lang w:val="en-US" w:eastAsia="zh-CN"/>
        </w:rPr>
      </w:pPr>
      <w:r>
        <w:rPr>
          <w:rFonts w:hint="eastAsia"/>
          <w:lang w:val="en-US" w:eastAsia="zh-CN"/>
        </w:rPr>
        <w:t>施工过程中，因不可抗力或甲方原因造成停工或不能继续施工时，工期顺延，由甲方负责办理延期手续。</w:t>
      </w:r>
    </w:p>
    <w:p>
      <w:pPr>
        <w:numPr>
          <w:ilvl w:val="0"/>
          <w:numId w:val="1"/>
        </w:numPr>
        <w:ind w:left="840" w:leftChars="0" w:firstLine="0" w:firstLineChars="0"/>
        <w:rPr>
          <w:rFonts w:hint="default"/>
          <w:lang w:val="en-US" w:eastAsia="zh-CN"/>
        </w:rPr>
      </w:pPr>
      <w:r>
        <w:rPr>
          <w:rFonts w:hint="eastAsia"/>
          <w:lang w:val="en-US" w:eastAsia="zh-CN"/>
        </w:rPr>
        <w:t>参加乙方组织的竣工验收工作，并完善后续工作。</w:t>
      </w:r>
    </w:p>
    <w:p>
      <w:pPr>
        <w:numPr>
          <w:ilvl w:val="0"/>
          <w:numId w:val="0"/>
        </w:numPr>
        <w:ind w:left="840" w:leftChars="0"/>
        <w:rPr>
          <w:rFonts w:hint="eastAsia"/>
          <w:lang w:val="en-US" w:eastAsia="zh-CN"/>
        </w:rPr>
      </w:pPr>
      <w:r>
        <w:rPr>
          <w:rFonts w:hint="eastAsia"/>
          <w:u w:val="single"/>
          <w:lang w:val="en-US" w:eastAsia="zh-CN"/>
        </w:rPr>
        <w:t>乙方职责</w:t>
      </w:r>
      <w:r>
        <w:rPr>
          <w:rFonts w:hint="eastAsia"/>
          <w:lang w:val="en-US" w:eastAsia="zh-CN"/>
        </w:rPr>
        <w:t>：</w:t>
      </w:r>
    </w:p>
    <w:p>
      <w:pPr>
        <w:numPr>
          <w:ilvl w:val="0"/>
          <w:numId w:val="2"/>
        </w:numPr>
        <w:ind w:left="840" w:leftChars="0"/>
        <w:rPr>
          <w:rFonts w:hint="eastAsia"/>
          <w:lang w:val="en-US" w:eastAsia="zh-CN"/>
        </w:rPr>
      </w:pPr>
      <w:r>
        <w:rPr>
          <w:rFonts w:hint="eastAsia"/>
          <w:lang w:val="en-US" w:eastAsia="zh-CN"/>
        </w:rPr>
        <w:t>负责设计工作，并组织施工，按规定日期做好各项施工准备工作。</w:t>
      </w:r>
    </w:p>
    <w:p>
      <w:pPr>
        <w:numPr>
          <w:ilvl w:val="0"/>
          <w:numId w:val="2"/>
        </w:numPr>
        <w:ind w:left="840" w:leftChars="0"/>
        <w:rPr>
          <w:rFonts w:hint="default"/>
          <w:lang w:val="en-US" w:eastAsia="zh-CN"/>
        </w:rPr>
      </w:pPr>
      <w:r>
        <w:rPr>
          <w:rFonts w:hint="eastAsia"/>
          <w:lang w:val="en-US" w:eastAsia="zh-CN"/>
        </w:rPr>
        <w:t>严格按照设计图与施工规范进行施工，确保施工质量，并按合同规定的时间如期完工和交付。</w:t>
      </w:r>
    </w:p>
    <w:p>
      <w:pPr>
        <w:numPr>
          <w:ilvl w:val="0"/>
          <w:numId w:val="2"/>
        </w:numPr>
        <w:ind w:left="840" w:leftChars="0"/>
        <w:rPr>
          <w:rFonts w:hint="default"/>
          <w:lang w:val="en-US" w:eastAsia="zh-CN"/>
        </w:rPr>
      </w:pPr>
      <w:r>
        <w:rPr>
          <w:rFonts w:hint="eastAsia"/>
          <w:lang w:val="en-US" w:eastAsia="zh-CN"/>
        </w:rPr>
        <w:t>按照甲方有关规定提供竣工验收图纸，参加竣工验收。</w:t>
      </w:r>
    </w:p>
    <w:p>
      <w:pPr>
        <w:numPr>
          <w:ilvl w:val="0"/>
          <w:numId w:val="2"/>
        </w:numPr>
        <w:ind w:left="840" w:leftChars="0"/>
        <w:rPr>
          <w:rFonts w:hint="default"/>
          <w:lang w:val="en-US" w:eastAsia="zh-CN"/>
        </w:rPr>
      </w:pPr>
      <w:r>
        <w:rPr>
          <w:rFonts w:hint="eastAsia"/>
          <w:lang w:val="en-US" w:eastAsia="zh-CN"/>
        </w:rPr>
        <w:t>乙方应严格遵守甲方制定的有关安全保卫工作的规定，违反规定的，应按规定承担相应的责任。</w:t>
      </w:r>
    </w:p>
    <w:p>
      <w:pPr>
        <w:numPr>
          <w:ilvl w:val="0"/>
          <w:numId w:val="2"/>
        </w:numPr>
        <w:ind w:left="840" w:leftChars="0"/>
        <w:rPr>
          <w:rFonts w:hint="default"/>
          <w:lang w:val="en-US" w:eastAsia="zh-CN"/>
        </w:rPr>
      </w:pPr>
      <w:r>
        <w:rPr>
          <w:rFonts w:hint="eastAsia"/>
          <w:lang w:val="en-US" w:eastAsia="zh-CN"/>
        </w:rPr>
        <w:t>乙方文明施工，安全生产，自行保管施工设备、工具及材料。在施工中所发生的一切安全事故和经济损失均由乙方承担，与甲方无关。</w:t>
      </w:r>
    </w:p>
    <w:p>
      <w:pPr>
        <w:numPr>
          <w:ilvl w:val="0"/>
          <w:numId w:val="0"/>
        </w:numPr>
        <w:rPr>
          <w:rFonts w:hint="eastAsia"/>
          <w:lang w:val="en-US" w:eastAsia="zh-CN"/>
        </w:rPr>
      </w:pPr>
      <w:r>
        <w:rPr>
          <w:rFonts w:hint="eastAsia"/>
          <w:lang w:val="en-US" w:eastAsia="zh-CN"/>
        </w:rPr>
        <w:t>第五条：相关配套材料及数量：无</w:t>
      </w:r>
    </w:p>
    <w:p>
      <w:pPr>
        <w:numPr>
          <w:ilvl w:val="0"/>
          <w:numId w:val="0"/>
        </w:numPr>
        <w:rPr>
          <w:rFonts w:hint="eastAsia"/>
          <w:lang w:val="en-US" w:eastAsia="zh-CN"/>
        </w:rPr>
      </w:pPr>
      <w:r>
        <w:rPr>
          <w:rFonts w:hint="eastAsia"/>
          <w:lang w:val="en-US" w:eastAsia="zh-CN"/>
        </w:rPr>
        <w:t>第六条：合理损耗标准及计算方法：无</w:t>
      </w:r>
    </w:p>
    <w:p>
      <w:pPr>
        <w:numPr>
          <w:ilvl w:val="0"/>
          <w:numId w:val="0"/>
        </w:numPr>
        <w:rPr>
          <w:rFonts w:hint="eastAsia"/>
          <w:lang w:val="en-US" w:eastAsia="zh-CN"/>
        </w:rPr>
      </w:pPr>
      <w:r>
        <w:rPr>
          <w:rFonts w:hint="eastAsia"/>
          <w:lang w:val="en-US" w:eastAsia="zh-CN"/>
        </w:rPr>
        <w:t>第七条：标的物所有权自验收合格时起转移，但需方未履行支付价款义务的，标的物属于供方所有。</w:t>
      </w:r>
    </w:p>
    <w:p>
      <w:pPr>
        <w:numPr>
          <w:ilvl w:val="0"/>
          <w:numId w:val="0"/>
        </w:numPr>
        <w:rPr>
          <w:rFonts w:hint="eastAsia"/>
          <w:lang w:val="en-US" w:eastAsia="zh-CN"/>
        </w:rPr>
      </w:pPr>
      <w:r>
        <w:rPr>
          <w:rFonts w:hint="eastAsia"/>
          <w:lang w:val="en-US" w:eastAsia="zh-CN"/>
        </w:rPr>
        <w:t>第八条：交（提）货方式、地点：成都工厂</w:t>
      </w:r>
    </w:p>
    <w:p>
      <w:pPr>
        <w:numPr>
          <w:ilvl w:val="0"/>
          <w:numId w:val="0"/>
        </w:numPr>
        <w:rPr>
          <w:rFonts w:hint="eastAsia"/>
          <w:lang w:val="en-US" w:eastAsia="zh-CN"/>
        </w:rPr>
      </w:pPr>
      <w:r>
        <w:rPr>
          <w:rFonts w:hint="eastAsia"/>
          <w:lang w:val="en-US" w:eastAsia="zh-CN"/>
        </w:rPr>
        <w:t>第九条：运输方式及到达站（港）和费用负担：汽运，运费供方负担，运至需方成都工厂。</w:t>
      </w:r>
    </w:p>
    <w:p>
      <w:pPr>
        <w:numPr>
          <w:ilvl w:val="0"/>
          <w:numId w:val="0"/>
        </w:numPr>
        <w:rPr>
          <w:rFonts w:hint="eastAsia"/>
          <w:lang w:val="en-US" w:eastAsia="zh-CN"/>
        </w:rPr>
      </w:pPr>
      <w:r>
        <w:rPr>
          <w:rFonts w:hint="eastAsia"/>
          <w:lang w:val="en-US" w:eastAsia="zh-CN"/>
        </w:rPr>
        <w:t>第十条：检验标准、方法、地点及期限：需方应在交（提）货当场验收数量并在验收单上签字确认。</w:t>
      </w:r>
    </w:p>
    <w:p>
      <w:pPr>
        <w:numPr>
          <w:ilvl w:val="0"/>
          <w:numId w:val="0"/>
        </w:numPr>
        <w:rPr>
          <w:rFonts w:hint="eastAsia"/>
          <w:lang w:val="en-US" w:eastAsia="zh-CN"/>
        </w:rPr>
      </w:pPr>
      <w:r>
        <w:rPr>
          <w:rFonts w:hint="eastAsia"/>
          <w:lang w:val="en-US" w:eastAsia="zh-CN"/>
        </w:rPr>
        <w:t>第十一条：结算方式、时间及地点：</w:t>
      </w:r>
    </w:p>
    <w:p>
      <w:pPr>
        <w:numPr>
          <w:ilvl w:val="0"/>
          <w:numId w:val="0"/>
        </w:numPr>
        <w:rPr>
          <w:rFonts w:hint="eastAsia"/>
          <w:lang w:val="en-US" w:eastAsia="zh-CN"/>
        </w:rPr>
      </w:pPr>
      <w:r>
        <w:rPr>
          <w:rFonts w:hint="eastAsia"/>
          <w:lang w:val="en-US" w:eastAsia="zh-CN"/>
        </w:rPr>
        <w:t>需方付款方式及期限：乙方安装完成，甲方验收合格后，甲方未有预付工程款项的，甲方需在30日内支付合同总价的100%（即￥9800银行转账或电汇）；</w:t>
      </w:r>
    </w:p>
    <w:p>
      <w:pPr>
        <w:numPr>
          <w:ilvl w:val="0"/>
          <w:numId w:val="0"/>
        </w:numPr>
        <w:rPr>
          <w:rFonts w:hint="eastAsia"/>
          <w:lang w:val="en-US" w:eastAsia="zh-CN"/>
        </w:rPr>
      </w:pPr>
      <w:r>
        <w:rPr>
          <w:rFonts w:hint="eastAsia"/>
          <w:lang w:val="en-US" w:eastAsia="zh-CN"/>
        </w:rPr>
        <w:t>第十二条：本合同解除的条件：</w:t>
      </w:r>
    </w:p>
    <w:p>
      <w:pPr>
        <w:numPr>
          <w:ilvl w:val="0"/>
          <w:numId w:val="0"/>
        </w:numPr>
        <w:rPr>
          <w:rFonts w:hint="eastAsia"/>
          <w:lang w:val="en-US" w:eastAsia="zh-CN"/>
        </w:rPr>
      </w:pPr>
      <w:r>
        <w:rPr>
          <w:rFonts w:hint="eastAsia"/>
          <w:lang w:val="en-US" w:eastAsia="zh-CN"/>
        </w:rPr>
        <w:t>违约责任：①若因需方原因造成工期延误，则工期顺延；②若因供方原因，不能按规定日期交货，每延迟一周（如因需方工程款支付延期除外），供方须按双方签订的本合同所约定的标的物总价的1%递交迟交罚款，此项罚款由双方书面确认实际延迟交付天数后从需方未支付的尾款中扣除，不足部分由需方另行支付。</w:t>
      </w:r>
    </w:p>
    <w:p>
      <w:pPr>
        <w:numPr>
          <w:ilvl w:val="0"/>
          <w:numId w:val="0"/>
        </w:numPr>
        <w:rPr>
          <w:rFonts w:hint="eastAsia"/>
          <w:lang w:val="en-US" w:eastAsia="zh-CN"/>
        </w:rPr>
      </w:pPr>
      <w:r>
        <w:rPr>
          <w:rFonts w:hint="eastAsia"/>
          <w:lang w:val="en-US" w:eastAsia="zh-CN"/>
        </w:rPr>
        <w:t>第十三条：保密约定：供方对合作过程中收到的需方提供的产品信息以及需方所接触的产品、工艺等信息、承诺保密。</w:t>
      </w:r>
    </w:p>
    <w:p>
      <w:pPr>
        <w:numPr>
          <w:ilvl w:val="0"/>
          <w:numId w:val="0"/>
        </w:numPr>
        <w:rPr>
          <w:rFonts w:hint="eastAsia"/>
          <w:lang w:val="en-US" w:eastAsia="zh-CN"/>
        </w:rPr>
      </w:pPr>
      <w:r>
        <w:rPr>
          <w:rFonts w:hint="eastAsia"/>
          <w:lang w:val="en-US" w:eastAsia="zh-CN"/>
        </w:rPr>
        <w:t>弟十四条：售后服务约定:</w:t>
      </w:r>
    </w:p>
    <w:p>
      <w:pPr>
        <w:numPr>
          <w:ilvl w:val="0"/>
          <w:numId w:val="0"/>
        </w:numPr>
        <w:rPr>
          <w:rFonts w:hint="eastAsia"/>
          <w:lang w:val="en-US" w:eastAsia="zh-CN"/>
        </w:rPr>
      </w:pPr>
      <w:r>
        <w:rPr>
          <w:rFonts w:hint="eastAsia"/>
          <w:lang w:val="en-US" w:eastAsia="zh-CN"/>
        </w:rPr>
        <w:t>至验收合格之日起进入质保期，质保期为</w:t>
      </w:r>
      <w:r>
        <w:rPr>
          <w:rFonts w:hint="eastAsia"/>
          <w:u w:val="single"/>
          <w:lang w:val="en-US" w:eastAsia="zh-CN"/>
        </w:rPr>
        <w:t>12</w:t>
      </w:r>
      <w:r>
        <w:rPr>
          <w:rFonts w:hint="eastAsia"/>
          <w:lang w:val="en-US" w:eastAsia="zh-CN"/>
        </w:rPr>
        <w:t>个月。因乙方原因损坏，由乙方无偿维修，因甲方原因损坏，由甲乙双方协商处理。</w:t>
      </w:r>
    </w:p>
    <w:p>
      <w:pPr>
        <w:numPr>
          <w:ilvl w:val="0"/>
          <w:numId w:val="0"/>
        </w:numPr>
        <w:rPr>
          <w:rFonts w:hint="eastAsia"/>
          <w:lang w:val="en-US" w:eastAsia="zh-CN"/>
        </w:rPr>
      </w:pPr>
      <w:r>
        <w:rPr>
          <w:rFonts w:hint="eastAsia"/>
          <w:lang w:val="en-US" w:eastAsia="zh-CN"/>
        </w:rPr>
        <w:t xml:space="preserve">第十五条;本合同的解决方式：本合同在履行过程中发生的争议，由双方当事人协商解决；也可由当地工商行政管理部门调解；协商调解不成的，按下列 </w:t>
      </w:r>
      <w:r>
        <w:rPr>
          <w:rFonts w:hint="eastAsia"/>
          <w:u w:val="single"/>
          <w:lang w:val="en-US" w:eastAsia="zh-CN"/>
        </w:rPr>
        <w:t xml:space="preserve">一 </w:t>
      </w:r>
      <w:r>
        <w:rPr>
          <w:rFonts w:hint="eastAsia"/>
          <w:lang w:val="en-US" w:eastAsia="zh-CN"/>
        </w:rPr>
        <w:t>种方式解决：</w:t>
      </w:r>
    </w:p>
    <w:p>
      <w:pPr>
        <w:numPr>
          <w:ilvl w:val="0"/>
          <w:numId w:val="3"/>
        </w:numPr>
        <w:rPr>
          <w:rFonts w:hint="eastAsia"/>
          <w:lang w:val="en-US" w:eastAsia="zh-CN"/>
        </w:rPr>
      </w:pPr>
      <w:r>
        <w:rPr>
          <w:rFonts w:hint="eastAsia"/>
          <w:lang w:val="en-US" w:eastAsia="zh-CN"/>
        </w:rPr>
        <w:t>：提交签约地点仲裁委员会仲裁</w:t>
      </w:r>
    </w:p>
    <w:p>
      <w:pPr>
        <w:numPr>
          <w:ilvl w:val="0"/>
          <w:numId w:val="3"/>
        </w:numPr>
        <w:rPr>
          <w:rFonts w:hint="default"/>
          <w:lang w:val="en-US" w:eastAsia="zh-CN"/>
        </w:rPr>
      </w:pPr>
      <w:r>
        <w:rPr>
          <w:rFonts w:hint="eastAsia"/>
          <w:lang w:val="en-US" w:eastAsia="zh-CN"/>
        </w:rPr>
        <w:t>：依法向人民法院起诉</w:t>
      </w:r>
    </w:p>
    <w:p>
      <w:pPr>
        <w:numPr>
          <w:ilvl w:val="0"/>
          <w:numId w:val="0"/>
        </w:numPr>
        <w:rPr>
          <w:rFonts w:hint="eastAsia"/>
          <w:lang w:val="en-US" w:eastAsia="zh-CN"/>
        </w:rPr>
      </w:pPr>
      <w:r>
        <w:rPr>
          <w:rFonts w:hint="eastAsia"/>
          <w:lang w:val="en-US" w:eastAsia="zh-CN"/>
        </w:rPr>
        <w:t>第十六条：本合同自</w:t>
      </w:r>
      <w:r>
        <w:rPr>
          <w:rFonts w:hint="eastAsia"/>
          <w:u w:val="single"/>
          <w:lang w:val="en-US" w:eastAsia="zh-CN"/>
        </w:rPr>
        <w:t>合同签署</w:t>
      </w:r>
      <w:r>
        <w:rPr>
          <w:rFonts w:hint="eastAsia"/>
          <w:lang w:val="en-US" w:eastAsia="zh-CN"/>
        </w:rPr>
        <w:t>即日起生效。</w:t>
      </w:r>
    </w:p>
    <w:p>
      <w:pPr>
        <w:numPr>
          <w:ilvl w:val="0"/>
          <w:numId w:val="0"/>
        </w:numPr>
        <w:rPr>
          <w:rFonts w:hint="eastAsia"/>
          <w:lang w:val="en-US" w:eastAsia="zh-CN"/>
        </w:rPr>
      </w:pPr>
      <w:r>
        <w:rPr>
          <w:rFonts w:hint="eastAsia"/>
          <w:lang w:val="en-US" w:eastAsia="zh-CN"/>
        </w:rPr>
        <w:t>第十七条：其他约定事项：报价方案和本合同具备同等的法律效力。</w:t>
      </w:r>
    </w:p>
    <w:p>
      <w:pPr>
        <w:numPr>
          <w:ilvl w:val="0"/>
          <w:numId w:val="0"/>
        </w:numPr>
        <w:rPr>
          <w:rFonts w:hint="eastAsia"/>
          <w:lang w:val="en-US" w:eastAsia="zh-CN"/>
        </w:rPr>
      </w:pPr>
      <w:r>
        <w:rPr>
          <w:rFonts w:hint="eastAsia"/>
          <w:lang w:val="en-US" w:eastAsia="zh-CN"/>
        </w:rPr>
        <w:t>第十八条：本合同一式两份，需方保留一份，供方保留一份。</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 xml:space="preserve">   </w:t>
      </w:r>
    </w:p>
    <w:p>
      <w:pPr>
        <w:numPr>
          <w:ilvl w:val="0"/>
          <w:numId w:val="0"/>
        </w:numPr>
        <w:rPr>
          <w:rFonts w:hint="eastAsia"/>
          <w:lang w:val="en-US" w:eastAsia="zh-CN"/>
        </w:rPr>
      </w:pPr>
      <w:r>
        <w:rPr>
          <w:rFonts w:hint="eastAsia"/>
          <w:lang w:val="en-US" w:eastAsia="zh-CN"/>
        </w:rPr>
        <w:t>甲方（签章）：                                  乙方（签章）：</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 xml:space="preserve"> </w:t>
      </w:r>
    </w:p>
    <w:p>
      <w:pPr>
        <w:numPr>
          <w:ilvl w:val="0"/>
          <w:numId w:val="0"/>
        </w:numPr>
        <w:rPr>
          <w:rFonts w:hint="eastAsia"/>
          <w:lang w:val="en-US" w:eastAsia="zh-CN"/>
        </w:rPr>
      </w:pPr>
      <w:r>
        <w:rPr>
          <w:rFonts w:hint="eastAsia"/>
          <w:lang w:val="en-US" w:eastAsia="zh-CN"/>
        </w:rPr>
        <w:t>法定代表人或委托代理人（签字）：              法定代表人或委托代理人（签字）：</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日期：                                          日期：</w:t>
      </w:r>
    </w:p>
    <w:p>
      <w:pPr>
        <w:numPr>
          <w:ilvl w:val="0"/>
          <w:numId w:val="0"/>
        </w:numPr>
        <w:rPr>
          <w:rFonts w:hint="default"/>
          <w:lang w:val="en-US" w:eastAsia="zh-CN"/>
        </w:rPr>
      </w:pPr>
    </w:p>
    <w:p>
      <w:pPr>
        <w:numPr>
          <w:ilvl w:val="0"/>
          <w:numId w:val="0"/>
        </w:numPr>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D7BFE"/>
    <w:multiLevelType w:val="singleLevel"/>
    <w:tmpl w:val="642D7BFE"/>
    <w:lvl w:ilvl="0" w:tentative="0">
      <w:start w:val="1"/>
      <w:numFmt w:val="decimal"/>
      <w:suff w:val="nothing"/>
      <w:lvlText w:val="%1、"/>
      <w:lvlJc w:val="left"/>
    </w:lvl>
  </w:abstractNum>
  <w:abstractNum w:abstractNumId="1">
    <w:nsid w:val="67002981"/>
    <w:multiLevelType w:val="singleLevel"/>
    <w:tmpl w:val="67002981"/>
    <w:lvl w:ilvl="0" w:tentative="0">
      <w:start w:val="1"/>
      <w:numFmt w:val="decimal"/>
      <w:suff w:val="nothing"/>
      <w:lvlText w:val="%1、"/>
      <w:lvlJc w:val="left"/>
      <w:pPr>
        <w:ind w:left="840" w:leftChars="0" w:firstLine="0" w:firstLineChars="0"/>
      </w:pPr>
    </w:lvl>
  </w:abstractNum>
  <w:abstractNum w:abstractNumId="2">
    <w:nsid w:val="752300E1"/>
    <w:multiLevelType w:val="singleLevel"/>
    <w:tmpl w:val="752300E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2ZmZDFhNmU5NDE4M2YwN2EwMTFiNzEzYzdlZWQifQ=="/>
  </w:docVars>
  <w:rsids>
    <w:rsidRoot w:val="2BD342A8"/>
    <w:rsid w:val="0D444CB5"/>
    <w:rsid w:val="14887A48"/>
    <w:rsid w:val="2ABD3ED7"/>
    <w:rsid w:val="2BD342A8"/>
    <w:rsid w:val="2D4960A0"/>
    <w:rsid w:val="2FA71E54"/>
    <w:rsid w:val="338C39C7"/>
    <w:rsid w:val="3BA90120"/>
    <w:rsid w:val="4DFE60AA"/>
    <w:rsid w:val="543640C4"/>
    <w:rsid w:val="598E1C6B"/>
    <w:rsid w:val="59A87E82"/>
    <w:rsid w:val="5C1F025F"/>
    <w:rsid w:val="608657DD"/>
    <w:rsid w:val="6A422A20"/>
    <w:rsid w:val="6F0E5BE4"/>
    <w:rsid w:val="717209D9"/>
    <w:rsid w:val="74727210"/>
    <w:rsid w:val="7855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2022-06-06T01:28:00Z</dcterms:created>
  <dc:creator>熙优爱小向</dc:creator>
  <cp:lastModifiedBy>Dell</cp:lastModifiedBy>
  <dcterms:modified xsi:type="dcterms:W3CDTF">2022-06-06T05:44:54Z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2124DD372ED14C1D935F7A7F841AFA0A</vt:lpwstr>
  </property>
</Properties>
</file>