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LPCG20220</w:t>
      </w:r>
      <w:r w:rsidR="008668EF">
        <w:rPr>
          <w:rFonts w:ascii="仿宋" w:eastAsia="仿宋" w:hAnsi="仿宋" w:hint="eastAsia"/>
          <w:sz w:val="24"/>
        </w:rPr>
        <w:t>06-2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109123775"/>
      <w:r w:rsidR="008668EF" w:rsidRPr="008668EF">
        <w:rPr>
          <w:rFonts w:ascii="仿宋" w:eastAsia="仿宋" w:hAnsi="仿宋" w:hint="eastAsia"/>
          <w:b/>
          <w:sz w:val="24"/>
        </w:rPr>
        <w:t>北京富光联创科技有限公司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F0C2D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F0C2D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4F5E00">
        <w:rPr>
          <w:rFonts w:ascii="仿宋" w:eastAsia="仿宋" w:hAnsi="仿宋" w:cs="Arial"/>
          <w:b/>
          <w:sz w:val="24"/>
          <w:shd w:val="clear" w:color="auto" w:fill="FFFFFF"/>
        </w:rPr>
        <w:t>1</w:t>
      </w:r>
      <w:r w:rsidR="008668EF">
        <w:rPr>
          <w:rFonts w:ascii="仿宋" w:eastAsia="仿宋" w:hAnsi="仿宋" w:cs="Arial" w:hint="eastAsia"/>
          <w:b/>
          <w:sz w:val="24"/>
          <w:shd w:val="clear" w:color="auto" w:fill="FFFFFF"/>
        </w:rPr>
        <w:t>10302062751424</w:t>
      </w:r>
      <w:r w:rsidR="008668EF">
        <w:rPr>
          <w:rFonts w:ascii="仿宋" w:eastAsia="仿宋" w:hAnsi="仿宋" w:cs="Arial"/>
          <w:b/>
          <w:sz w:val="24"/>
          <w:shd w:val="clear" w:color="auto" w:fill="FFFFFF"/>
        </w:rPr>
        <w:t>Q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705" w:type="dxa"/>
        <w:jc w:val="center"/>
        <w:tblLook w:val="04A0" w:firstRow="1" w:lastRow="0" w:firstColumn="1" w:lastColumn="0" w:noHBand="0" w:noVBand="1"/>
      </w:tblPr>
      <w:tblGrid>
        <w:gridCol w:w="485"/>
        <w:gridCol w:w="766"/>
        <w:gridCol w:w="657"/>
        <w:gridCol w:w="1560"/>
        <w:gridCol w:w="567"/>
        <w:gridCol w:w="708"/>
        <w:gridCol w:w="709"/>
        <w:gridCol w:w="851"/>
        <w:gridCol w:w="850"/>
        <w:gridCol w:w="851"/>
        <w:gridCol w:w="1701"/>
      </w:tblGrid>
      <w:tr w:rsidR="00A51D21" w:rsidRPr="00526083" w:rsidTr="00A51D21">
        <w:trPr>
          <w:trHeight w:val="51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序号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Q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AD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号码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EA0159" w:rsidP="00A51D2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规格型号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ind w:left="110" w:hangingChars="100" w:hanging="110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</w:t>
            </w: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税单价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 xml:space="preserve"> 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未税金额（元）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增值税税额（元）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含税总价（元）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备注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BEC0010055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50V/0.1uF/0603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 w:rsidR="00900F4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0.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0230</w:t>
            </w: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552</w:t>
            </w:r>
            <w:r w:rsidR="00EA0159"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.00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71.76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623.76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BEC0010056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50V/0.1μF/0805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0.0664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531.20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69.0560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600.2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BEC0010057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4.7μF/50V/3528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900F48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938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121.94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1059.94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BEC0010061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22μF/10V/3528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0.9735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73.5000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26.5550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100.0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BEC0010062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16V/1μF/0805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0.1150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30.0000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9.9000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59.90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BEC0010063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 xml:space="preserve">100uF/50V/CM </w:t>
            </w:r>
            <w:proofErr w:type="gramStart"/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E(</w:t>
            </w:r>
            <w:proofErr w:type="gramEnd"/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8*10.2)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</w:t>
            </w:r>
            <w:r w:rsidR="003B63E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3B63E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460.2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3B63E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59.826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B293A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520.0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BEC0010073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10K/1%/0603-RES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035688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1"/>
                <w:szCs w:val="11"/>
              </w:rPr>
            </w:pPr>
            <w:r w:rsidRPr="00035688">
              <w:rPr>
                <w:rFonts w:asciiTheme="majorEastAsia" w:eastAsiaTheme="majorEastAsia" w:hAnsiTheme="majorEastAsia" w:cs="宋体" w:hint="eastAsia"/>
                <w:kern w:val="0"/>
                <w:sz w:val="11"/>
                <w:szCs w:val="11"/>
              </w:rPr>
              <w:t>0.0</w:t>
            </w:r>
            <w:r w:rsidR="00B55CA2" w:rsidRPr="00035688">
              <w:rPr>
                <w:rFonts w:asciiTheme="majorEastAsia" w:eastAsiaTheme="majorEastAsia" w:hAnsiTheme="majorEastAsia" w:cs="宋体" w:hint="eastAsia"/>
                <w:kern w:val="0"/>
                <w:sz w:val="11"/>
                <w:szCs w:val="11"/>
              </w:rPr>
              <w:t>0575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86.25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11.2125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97.4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BEC0010075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51K/1%/0603-RES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0.00</w:t>
            </w:r>
            <w:r w:rsidR="00B55CA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28.75</w:t>
            </w:r>
            <w:r w:rsidR="00A51D21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3.7375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B55CA2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32.4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BEC0010058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电容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/>
                <w:sz w:val="11"/>
                <w:szCs w:val="11"/>
              </w:rPr>
              <w:t>50V/10nF/0603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proofErr w:type="gramStart"/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0B055C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0.0265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06.0000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3.7800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A51D21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1</w:t>
            </w:r>
            <w:r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  <w:t>19.78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</w:tr>
      <w:tr w:rsidR="00A51D21" w:rsidRPr="00526083" w:rsidTr="00A51D21">
        <w:trPr>
          <w:trHeight w:val="27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11"/>
                <w:szCs w:val="11"/>
              </w:rPr>
              <w:t>合计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F25533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4413.6</w:t>
            </w:r>
            <w:r w:rsidR="003F114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>9</w:t>
            </w:r>
            <w:r w:rsidR="00EA0159"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159" w:rsidRPr="00EA0159" w:rsidRDefault="00EA0159" w:rsidP="007F0C2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1"/>
                <w:szCs w:val="11"/>
              </w:rPr>
            </w:pPr>
            <w:r w:rsidRPr="00EA01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574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</w:t>
      </w:r>
      <w:r w:rsidR="00F2553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413.6</w:t>
      </w:r>
      <w:r w:rsidR="003F114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9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proofErr w:type="gramStart"/>
      <w:r w:rsidR="0076574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F25EE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仟</w:t>
      </w:r>
      <w:r w:rsidR="00F2553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F2553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拾</w:t>
      </w:r>
      <w:r w:rsidR="0076574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</w:t>
      </w:r>
      <w:proofErr w:type="gramEnd"/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76574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角</w:t>
      </w:r>
      <w:r w:rsidR="003F114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</w:t>
      </w:r>
      <w:r w:rsidR="003F138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A0CC8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022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E7367D">
        <w:rPr>
          <w:rFonts w:ascii="仿宋" w:eastAsia="仿宋" w:hAnsi="仿宋" w:cs="宋体" w:hint="eastAsia"/>
          <w:kern w:val="0"/>
          <w:sz w:val="24"/>
        </w:rPr>
        <w:t>7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474139">
        <w:rPr>
          <w:rFonts w:ascii="仿宋" w:eastAsia="仿宋" w:hAnsi="仿宋" w:cs="宋体"/>
          <w:kern w:val="0"/>
          <w:sz w:val="24"/>
        </w:rPr>
        <w:t>30</w:t>
      </w:r>
      <w:bookmarkStart w:id="2" w:name="_GoBack"/>
      <w:bookmarkEnd w:id="2"/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Default="000E4F91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D56E6" w:rsidRPr="000D56E6" w:rsidRDefault="000D56E6" w:rsidP="000D56E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7367D" w:rsidRPr="00E7367D">
        <w:rPr>
          <w:rFonts w:ascii="仿宋" w:eastAsia="仿宋" w:hAnsi="仿宋" w:cs="仿宋" w:hint="eastAsia"/>
          <w:color w:val="000000"/>
          <w:sz w:val="24"/>
        </w:rPr>
        <w:t>北京富光联创科技有限公司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DA4DA9" w:rsidRDefault="00DA4DA9" w:rsidP="00DA4DA9">
      <w:pPr>
        <w:spacing w:line="360" w:lineRule="auto"/>
        <w:ind w:firstLineChars="400" w:firstLine="96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0D56E6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0E4F91" w:rsidRPr="000D56E6" w:rsidRDefault="00735675" w:rsidP="000D56E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6B" w:rsidRDefault="0068156B" w:rsidP="006B1554">
      <w:r>
        <w:separator/>
      </w:r>
    </w:p>
  </w:endnote>
  <w:endnote w:type="continuationSeparator" w:id="0">
    <w:p w:rsidR="0068156B" w:rsidRDefault="0068156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3B63E9" w:rsidRDefault="003B63E9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3B63E9" w:rsidRDefault="003B63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6B" w:rsidRDefault="0068156B" w:rsidP="006B1554">
      <w:r>
        <w:separator/>
      </w:r>
    </w:p>
  </w:footnote>
  <w:footnote w:type="continuationSeparator" w:id="0">
    <w:p w:rsidR="0068156B" w:rsidRDefault="0068156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3E9" w:rsidRDefault="003B63E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3B63E9" w:rsidRPr="002E633B" w:rsidRDefault="003B63E9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35688"/>
    <w:rsid w:val="00054CBE"/>
    <w:rsid w:val="00072E68"/>
    <w:rsid w:val="00083E58"/>
    <w:rsid w:val="000A77CC"/>
    <w:rsid w:val="000B055C"/>
    <w:rsid w:val="000B7268"/>
    <w:rsid w:val="000D56E6"/>
    <w:rsid w:val="000D6D02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38F9"/>
    <w:rsid w:val="001F562B"/>
    <w:rsid w:val="00205E47"/>
    <w:rsid w:val="00205E70"/>
    <w:rsid w:val="00235A39"/>
    <w:rsid w:val="00260719"/>
    <w:rsid w:val="0027773B"/>
    <w:rsid w:val="002C24D1"/>
    <w:rsid w:val="002E633B"/>
    <w:rsid w:val="00351790"/>
    <w:rsid w:val="00365E7F"/>
    <w:rsid w:val="00370E0F"/>
    <w:rsid w:val="0038183E"/>
    <w:rsid w:val="003826D8"/>
    <w:rsid w:val="00392144"/>
    <w:rsid w:val="003A4CB5"/>
    <w:rsid w:val="003B63E9"/>
    <w:rsid w:val="003F114D"/>
    <w:rsid w:val="003F138B"/>
    <w:rsid w:val="003F4EAE"/>
    <w:rsid w:val="004420CE"/>
    <w:rsid w:val="004576B1"/>
    <w:rsid w:val="00465AA9"/>
    <w:rsid w:val="00474139"/>
    <w:rsid w:val="00495B63"/>
    <w:rsid w:val="004E2CC4"/>
    <w:rsid w:val="004F5E00"/>
    <w:rsid w:val="004F62CC"/>
    <w:rsid w:val="004F78B9"/>
    <w:rsid w:val="00550290"/>
    <w:rsid w:val="00564BFA"/>
    <w:rsid w:val="00595383"/>
    <w:rsid w:val="005A227F"/>
    <w:rsid w:val="005B4ECD"/>
    <w:rsid w:val="005B6B90"/>
    <w:rsid w:val="005C5338"/>
    <w:rsid w:val="00614905"/>
    <w:rsid w:val="00625393"/>
    <w:rsid w:val="00634E23"/>
    <w:rsid w:val="00637057"/>
    <w:rsid w:val="00661D0B"/>
    <w:rsid w:val="006652D5"/>
    <w:rsid w:val="00665C88"/>
    <w:rsid w:val="0068156B"/>
    <w:rsid w:val="006955A6"/>
    <w:rsid w:val="006B1554"/>
    <w:rsid w:val="006D28A8"/>
    <w:rsid w:val="006E07F4"/>
    <w:rsid w:val="0071772B"/>
    <w:rsid w:val="00724008"/>
    <w:rsid w:val="00735675"/>
    <w:rsid w:val="007358CB"/>
    <w:rsid w:val="0076574B"/>
    <w:rsid w:val="007A066E"/>
    <w:rsid w:val="007B4815"/>
    <w:rsid w:val="007F0C2D"/>
    <w:rsid w:val="008606CC"/>
    <w:rsid w:val="008668EF"/>
    <w:rsid w:val="008750CD"/>
    <w:rsid w:val="008857DF"/>
    <w:rsid w:val="00886400"/>
    <w:rsid w:val="008B1E01"/>
    <w:rsid w:val="008E0822"/>
    <w:rsid w:val="00900F48"/>
    <w:rsid w:val="00926C8C"/>
    <w:rsid w:val="00966465"/>
    <w:rsid w:val="00980616"/>
    <w:rsid w:val="009818FF"/>
    <w:rsid w:val="009877A8"/>
    <w:rsid w:val="009A0E89"/>
    <w:rsid w:val="009B0295"/>
    <w:rsid w:val="009B3272"/>
    <w:rsid w:val="009E47F6"/>
    <w:rsid w:val="00A06627"/>
    <w:rsid w:val="00A12FA9"/>
    <w:rsid w:val="00A2606B"/>
    <w:rsid w:val="00A3666A"/>
    <w:rsid w:val="00A51D21"/>
    <w:rsid w:val="00A8333F"/>
    <w:rsid w:val="00AA0CC8"/>
    <w:rsid w:val="00AB5504"/>
    <w:rsid w:val="00B40AB5"/>
    <w:rsid w:val="00B4140B"/>
    <w:rsid w:val="00B41714"/>
    <w:rsid w:val="00B55CA2"/>
    <w:rsid w:val="00B5672E"/>
    <w:rsid w:val="00B570F3"/>
    <w:rsid w:val="00BA1233"/>
    <w:rsid w:val="00BC6E31"/>
    <w:rsid w:val="00C309D8"/>
    <w:rsid w:val="00C849EF"/>
    <w:rsid w:val="00C93E16"/>
    <w:rsid w:val="00C949CF"/>
    <w:rsid w:val="00CE2D73"/>
    <w:rsid w:val="00D23C1B"/>
    <w:rsid w:val="00D27AA4"/>
    <w:rsid w:val="00D406A9"/>
    <w:rsid w:val="00D47E28"/>
    <w:rsid w:val="00DA4DA9"/>
    <w:rsid w:val="00DF53FB"/>
    <w:rsid w:val="00E16D88"/>
    <w:rsid w:val="00E22CB5"/>
    <w:rsid w:val="00E53314"/>
    <w:rsid w:val="00E7367D"/>
    <w:rsid w:val="00E75C7E"/>
    <w:rsid w:val="00EA0159"/>
    <w:rsid w:val="00EB293A"/>
    <w:rsid w:val="00EB33DC"/>
    <w:rsid w:val="00ED1401"/>
    <w:rsid w:val="00ED1BBF"/>
    <w:rsid w:val="00EE4FE9"/>
    <w:rsid w:val="00EF0EE2"/>
    <w:rsid w:val="00EF0F7C"/>
    <w:rsid w:val="00EF74CA"/>
    <w:rsid w:val="00F04463"/>
    <w:rsid w:val="00F10CB8"/>
    <w:rsid w:val="00F25533"/>
    <w:rsid w:val="00F25EE6"/>
    <w:rsid w:val="00F36934"/>
    <w:rsid w:val="00F536EC"/>
    <w:rsid w:val="00F60CEE"/>
    <w:rsid w:val="00F61F7B"/>
    <w:rsid w:val="00F66D4C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14BE2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101</cp:revision>
  <dcterms:created xsi:type="dcterms:W3CDTF">2018-09-03T02:40:00Z</dcterms:created>
  <dcterms:modified xsi:type="dcterms:W3CDTF">2022-07-27T06:30:00Z</dcterms:modified>
</cp:coreProperties>
</file>