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010-20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北京金福利达汽车控制系统有限公司</w:t>
      </w:r>
      <w:r>
        <w:rPr>
          <w:rStyle w:val="15"/>
          <w:szCs w:val="21"/>
          <w:shd w:val="clear" w:color="auto" w:fill="FFFFFF"/>
        </w:rPr>
        <w:t xml:space="preserve">  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河北光华荣昌汽车部件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1"/>
        <w:gridCol w:w="497"/>
        <w:gridCol w:w="2010"/>
        <w:gridCol w:w="780"/>
        <w:gridCol w:w="765"/>
        <w:gridCol w:w="1289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80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6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89" w:type="dxa"/>
          </w:tcPr>
          <w:p>
            <w:pPr>
              <w:widowControl/>
              <w:spacing w:line="360" w:lineRule="auto"/>
              <w:ind w:left="241" w:hanging="241" w:hanging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13%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B40驾驶员座椅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P203座椅改装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400000</w:t>
            </w:r>
          </w:p>
        </w:tc>
        <w:tc>
          <w:tcPr>
            <w:tcW w:w="736" w:type="dxa"/>
            <w:vMerge w:val="restart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  <w:t>合同签订打款施行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B40副驾驶员座椅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P203座椅改装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241" w:type="dxa"/>
            <w:vAlign w:val="center"/>
          </w:tcPr>
          <w:p>
            <w:pPr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360000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09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Style w:val="15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B40后排座椅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新B40座椅4/6分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41" w:type="dxa"/>
            <w:vAlign w:val="center"/>
          </w:tcPr>
          <w:p>
            <w:pPr>
              <w:ind w:firstLine="241" w:firstLineChars="1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90000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 w:val="0"/>
                <w:i/>
                <w:iCs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850000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大写：捌拾伍万整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符合样品尺寸，面料为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PVC黑色，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甲方按乙方标准接收。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1．合同签订后，甲方付款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总订单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50%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至乙方指定账户，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产品完成订单发货前付完全款。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</w:t>
      </w:r>
      <w:r>
        <w:rPr>
          <w:rFonts w:hint="eastAsia" w:ascii="仿宋" w:hAnsi="仿宋" w:eastAsia="仿宋"/>
          <w:sz w:val="24"/>
          <w:lang w:eastAsia="zh-CN"/>
        </w:rPr>
        <w:t>不带纸箱包装</w:t>
      </w:r>
      <w:r>
        <w:rPr>
          <w:rFonts w:hint="eastAsia" w:ascii="仿宋" w:hAnsi="仿宋" w:eastAsia="仿宋"/>
          <w:sz w:val="24"/>
        </w:rPr>
        <w:t>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u w:val="single"/>
          <w:lang w:eastAsia="zh-CN"/>
        </w:rPr>
        <w:t>物流运输及纸箱包装甲方负责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地点甲方自行确定</w:t>
      </w:r>
      <w:bookmarkStart w:id="1" w:name="_GoBack"/>
      <w:bookmarkEnd w:id="1"/>
      <w:r>
        <w:rPr>
          <w:rFonts w:hint="eastAsia" w:ascii="仿宋" w:hAnsi="仿宋" w:eastAsia="仿宋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交付</w:t>
      </w: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2022年11月25日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北京金福利达汽车控制系统有限公司</w:t>
      </w:r>
      <w:r>
        <w:rPr>
          <w:rStyle w:val="15"/>
          <w:szCs w:val="21"/>
          <w:shd w:val="clear" w:color="auto" w:fill="FFFFFF"/>
        </w:rPr>
        <w:t xml:space="preserve">   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交货地址：</w:t>
      </w:r>
    </w:p>
    <w:p>
      <w:pPr>
        <w:snapToGrid w:val="0"/>
        <w:spacing w:line="240" w:lineRule="exact"/>
        <w:rPr>
          <w:rFonts w:hint="default" w:ascii="仿宋" w:hAnsi="仿宋" w:eastAsia="宋体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135650DA"/>
    <w:rsid w:val="13C1088F"/>
    <w:rsid w:val="1C3613CD"/>
    <w:rsid w:val="1C3B224E"/>
    <w:rsid w:val="1FE41064"/>
    <w:rsid w:val="2144238B"/>
    <w:rsid w:val="243F4BC0"/>
    <w:rsid w:val="262D2F52"/>
    <w:rsid w:val="26D83885"/>
    <w:rsid w:val="272F65D6"/>
    <w:rsid w:val="29A2665D"/>
    <w:rsid w:val="2BFB62F1"/>
    <w:rsid w:val="2E3B3C4B"/>
    <w:rsid w:val="38800181"/>
    <w:rsid w:val="391B682D"/>
    <w:rsid w:val="3AC758FD"/>
    <w:rsid w:val="3C8C5B67"/>
    <w:rsid w:val="46A2058E"/>
    <w:rsid w:val="4B96570A"/>
    <w:rsid w:val="4CAC3C40"/>
    <w:rsid w:val="4E5E27A2"/>
    <w:rsid w:val="4F7F064E"/>
    <w:rsid w:val="55551FD0"/>
    <w:rsid w:val="5D6B6A03"/>
    <w:rsid w:val="5FF540BA"/>
    <w:rsid w:val="61900FD4"/>
    <w:rsid w:val="642A232E"/>
    <w:rsid w:val="66620112"/>
    <w:rsid w:val="66D137D1"/>
    <w:rsid w:val="6C9A460C"/>
    <w:rsid w:val="720B5CC4"/>
    <w:rsid w:val="73830211"/>
    <w:rsid w:val="763B0D62"/>
    <w:rsid w:val="790F4F27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29</TotalTime>
  <ScaleCrop>false</ScaleCrop>
  <LinksUpToDate>false</LinksUpToDate>
  <CharactersWithSpaces>1124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张海亮</cp:lastModifiedBy>
  <dcterms:modified xsi:type="dcterms:W3CDTF">2022-10-21T06:52:14Z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29356244475C41D1B24F9C70EA688BC2</vt:lpwstr>
  </property>
</Properties>
</file>