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52"/>
          <w:szCs w:val="52"/>
        </w:rPr>
      </w:pPr>
    </w:p>
    <w:p>
      <w:pPr>
        <w:jc w:val="center"/>
        <w:rPr>
          <w:rFonts w:ascii="华文新魏" w:hAnsi="宋体" w:eastAsia="华文新魏"/>
          <w:sz w:val="52"/>
          <w:szCs w:val="52"/>
        </w:rPr>
      </w:pPr>
      <w:bookmarkStart w:id="0" w:name="_GoBack"/>
      <w:bookmarkEnd w:id="0"/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申请          □通知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□报告</w:t>
            </w:r>
          </w:p>
        </w:tc>
      </w:tr>
    </w:tbl>
    <w:p>
      <w:pPr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主题：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采购价格维护及标准成本核对流程</w:t>
      </w: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29"/>
        <w:gridCol w:w="2449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0" w:hRule="atLeast"/>
          <w:jc w:val="center"/>
        </w:trPr>
        <w:tc>
          <w:tcPr>
            <w:tcW w:w="10102" w:type="dxa"/>
            <w:gridSpan w:val="4"/>
          </w:tcPr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1、采购日程价格表、采购离散订单报表维护、核对</w:t>
            </w:r>
          </w:p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采购部将价格协议和一单一议合同签订完成后3日内将电子版和</w:t>
            </w:r>
            <w:r>
              <w:rPr>
                <w:rFonts w:hint="eastAsia" w:ascii="微软雅黑" w:hAnsi="微软雅黑" w:eastAsia="微软雅黑" w:cs="Arial"/>
                <w:szCs w:val="21"/>
                <w:highlight w:val="none"/>
              </w:rPr>
              <w:t>纸质版提供</w:t>
            </w:r>
            <w:r>
              <w:rPr>
                <w:rFonts w:hint="eastAsia" w:ascii="微软雅黑" w:hAnsi="微软雅黑" w:eastAsia="微软雅黑" w:cs="Arial"/>
                <w:szCs w:val="21"/>
              </w:rPr>
              <w:t>给财务部应付会计，应付会计在接收到采购部资料后2日内核对价格协议、合同价格与QAD系统录入采购日程价格表、采购离散订单报表是否一致，不一致当天反馈采购进行修正。供应商开来发票，应付会计对发票和QAD系统采购日程价格表、采购离散订单报表进行核对，核对一致后进行QAD系统挂票，如不一致将发票退回采购部，要求供应商重新开具，如供应商开来发票无对应价格协议和合同，应付会计不予进行QAD系统挂票，当天反馈给采购部，采购部予以说明，未及时维护价格表的采购部需当天进行采购日程价格表、采购离散订单报表维护，否则采购部应退回供应商。应付会计每月</w:t>
            </w:r>
            <w:r>
              <w:rPr>
                <w:rFonts w:ascii="微软雅黑" w:hAnsi="微软雅黑" w:eastAsia="微软雅黑" w:cs="Arial"/>
                <w:szCs w:val="21"/>
              </w:rPr>
              <w:t>15</w:t>
            </w:r>
            <w:r>
              <w:rPr>
                <w:rFonts w:hint="eastAsia" w:ascii="微软雅黑" w:hAnsi="微软雅黑" w:eastAsia="微软雅黑" w:cs="Arial"/>
                <w:szCs w:val="21"/>
              </w:rPr>
              <w:t>日前汇总系统中无价格的零件号，发邮件反馈给采购部，采购部应于当月2</w:t>
            </w:r>
            <w:r>
              <w:rPr>
                <w:rFonts w:ascii="微软雅黑" w:hAnsi="微软雅黑" w:eastAsia="微软雅黑" w:cs="Arial"/>
                <w:szCs w:val="21"/>
              </w:rPr>
              <w:t>8</w:t>
            </w:r>
            <w:r>
              <w:rPr>
                <w:rFonts w:hint="eastAsia" w:ascii="微软雅黑" w:hAnsi="微软雅黑" w:eastAsia="微软雅黑" w:cs="Arial"/>
                <w:szCs w:val="21"/>
              </w:rPr>
              <w:t>日前在系统内维护好暂估价格或协议、合同。</w:t>
            </w:r>
          </w:p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2、采购件标准成本维护</w:t>
            </w:r>
          </w:p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成本会计核对QAD采购日程价格表、采购离散订单报表，与标准成本是否一致，如不一致沟通应付会计确定采购日程价格表、采购离散订单报表，是否正确，核查正确后及时修改标准成本，无采购日程价格表、采购离散订单报表支撑的标准成本</w:t>
            </w:r>
            <w:r>
              <w:rPr>
                <w:rFonts w:hint="eastAsia" w:ascii="微软雅黑" w:hAnsi="微软雅黑" w:eastAsia="微软雅黑" w:cs="Arial"/>
                <w:szCs w:val="21"/>
                <w:highlight w:val="none"/>
              </w:rPr>
              <w:t>每月15日更新核对一次反</w:t>
            </w:r>
            <w:r>
              <w:rPr>
                <w:rFonts w:hint="eastAsia" w:ascii="微软雅黑" w:hAnsi="微软雅黑" w:eastAsia="微软雅黑" w:cs="Arial"/>
                <w:szCs w:val="21"/>
              </w:rPr>
              <w:t>馈给采购部，需要补充价格协议、采购合同的采购部需在当月</w:t>
            </w:r>
            <w:r>
              <w:rPr>
                <w:rFonts w:ascii="微软雅黑" w:hAnsi="微软雅黑" w:eastAsia="微软雅黑" w:cs="Arial"/>
                <w:szCs w:val="21"/>
              </w:rPr>
              <w:t>28</w:t>
            </w:r>
            <w:r>
              <w:rPr>
                <w:rFonts w:hint="eastAsia" w:ascii="微软雅黑" w:hAnsi="微软雅黑" w:eastAsia="微软雅黑" w:cs="Arial"/>
                <w:szCs w:val="21"/>
              </w:rPr>
              <w:t>日前反馈应付会计和成本会计。成本会计根据此流程更新维护标准成本。采购单价与库存单位不一致的，采购部在维护系统采购日程价格表、采购离散订单报表的同时需要维护转换因子。</w:t>
            </w:r>
          </w:p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3、自制件标准成本维护</w:t>
            </w:r>
          </w:p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自制件标准成本，如发现零件价格差异较大及时更新价格，涉及父级件较少逐个进行卷积，涉及父级件较多需进行批量卷积，直至标准成本接近实际成本后定于每年12月26日进行批量卷积零件成本。</w:t>
            </w:r>
          </w:p>
          <w:p>
            <w:pPr>
              <w:ind w:firstLine="420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李芳慧</w:t>
            </w:r>
          </w:p>
        </w:tc>
        <w:tc>
          <w:tcPr>
            <w:tcW w:w="2229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审核：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</w:tc>
        <w:tc>
          <w:tcPr>
            <w:tcW w:w="2449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日期：2022-11-17</w:t>
            </w:r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部门：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881" w:type="dxa"/>
            <w:gridSpan w:val="3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批准：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</w:t>
            </w:r>
          </w:p>
        </w:tc>
      </w:tr>
    </w:tbl>
    <w:p>
      <w:pPr>
        <w:spacing w:line="360" w:lineRule="auto"/>
        <w:rPr>
          <w:rFonts w:ascii="微软雅黑" w:hAnsi="微软雅黑" w:eastAsia="微软雅黑"/>
          <w:b/>
          <w:sz w:val="10"/>
          <w:szCs w:val="10"/>
        </w:rPr>
      </w:pPr>
    </w:p>
    <w:sectPr>
      <w:pgSz w:w="11906" w:h="16838"/>
      <w:pgMar w:top="284" w:right="1077" w:bottom="709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ZGE1ZGZmYTJlMjc1MzJhODA3NWNjNGIwZmU0YTI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0B1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B5CF6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B79EB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9519F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472C0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47175D9"/>
    <w:rsid w:val="08D43A9D"/>
    <w:rsid w:val="09323DAC"/>
    <w:rsid w:val="0A9F5795"/>
    <w:rsid w:val="0CAC2E09"/>
    <w:rsid w:val="0E3D3480"/>
    <w:rsid w:val="12C44EB6"/>
    <w:rsid w:val="148B12E6"/>
    <w:rsid w:val="14C111AC"/>
    <w:rsid w:val="16786D8E"/>
    <w:rsid w:val="16A80F70"/>
    <w:rsid w:val="20702B06"/>
    <w:rsid w:val="23056708"/>
    <w:rsid w:val="241E6EA9"/>
    <w:rsid w:val="24AC2282"/>
    <w:rsid w:val="26242379"/>
    <w:rsid w:val="2ADC41F2"/>
    <w:rsid w:val="2CF241A1"/>
    <w:rsid w:val="2D1C378C"/>
    <w:rsid w:val="313F7312"/>
    <w:rsid w:val="31BD058A"/>
    <w:rsid w:val="31C559E0"/>
    <w:rsid w:val="322B612B"/>
    <w:rsid w:val="335276E8"/>
    <w:rsid w:val="35944273"/>
    <w:rsid w:val="35E5740A"/>
    <w:rsid w:val="36DA1082"/>
    <w:rsid w:val="402C30CE"/>
    <w:rsid w:val="40CF21ED"/>
    <w:rsid w:val="449A64A4"/>
    <w:rsid w:val="493371E4"/>
    <w:rsid w:val="498C4A34"/>
    <w:rsid w:val="49FB2B5C"/>
    <w:rsid w:val="4EC0781D"/>
    <w:rsid w:val="518965D2"/>
    <w:rsid w:val="567D75C8"/>
    <w:rsid w:val="576D2B37"/>
    <w:rsid w:val="577D217C"/>
    <w:rsid w:val="57863115"/>
    <w:rsid w:val="57EE5047"/>
    <w:rsid w:val="5A932270"/>
    <w:rsid w:val="5BC932C1"/>
    <w:rsid w:val="5CA900EE"/>
    <w:rsid w:val="5EBC06A6"/>
    <w:rsid w:val="5FF37866"/>
    <w:rsid w:val="6041058C"/>
    <w:rsid w:val="60A4426C"/>
    <w:rsid w:val="62C33AD4"/>
    <w:rsid w:val="637B0BA0"/>
    <w:rsid w:val="66B92904"/>
    <w:rsid w:val="6A633A0D"/>
    <w:rsid w:val="6A6D6639"/>
    <w:rsid w:val="6B0953F0"/>
    <w:rsid w:val="6BC13BE0"/>
    <w:rsid w:val="6BC809C6"/>
    <w:rsid w:val="6CDF1345"/>
    <w:rsid w:val="6E025AEF"/>
    <w:rsid w:val="70123383"/>
    <w:rsid w:val="70AF2177"/>
    <w:rsid w:val="70C64799"/>
    <w:rsid w:val="765C7562"/>
    <w:rsid w:val="76B45C03"/>
    <w:rsid w:val="77F9775E"/>
    <w:rsid w:val="798C45FA"/>
    <w:rsid w:val="7CAA6321"/>
    <w:rsid w:val="7D567729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字符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771</Words>
  <Characters>796</Characters>
  <Lines>6</Lines>
  <Paragraphs>1</Paragraphs>
  <TotalTime>32</TotalTime>
  <ScaleCrop>false</ScaleCrop>
  <LinksUpToDate>false</LinksUpToDate>
  <CharactersWithSpaces>885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QAD_005</cp:lastModifiedBy>
  <cp:lastPrinted>2021-10-19T06:06:00Z</cp:lastPrinted>
  <dcterms:modified xsi:type="dcterms:W3CDTF">2022-11-22T00:01:12Z</dcterms:modified>
  <dc:title>      北京光华荣昌</dc:title>
  <cp:revision>379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D44CCD769C1748C29B8A8EF775B98BC9</vt:lpwstr>
  </property>
</Properties>
</file>