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97A38">
        <w:rPr>
          <w:rFonts w:ascii="宋体" w:eastAsia="宋体" w:hAnsi="宋体" w:hint="eastAsia"/>
          <w:b/>
          <w:sz w:val="32"/>
          <w:szCs w:val="32"/>
        </w:rPr>
        <w:t>排气噪音分贝测试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F97A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升降开关气阀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2.1底座座椅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F97A38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BPC0010047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F97A38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董启辉</w:t>
            </w:r>
          </w:p>
          <w:p w:rsidR="002A220A" w:rsidRDefault="001B287B" w:rsidP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97A38">
              <w:rPr>
                <w:rFonts w:ascii="宋体" w:eastAsia="宋体" w:hAnsi="宋体" w:hint="eastAsia"/>
              </w:rPr>
              <w:t>13933995680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F97A38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2022年12月26日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F97A3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排气噪音分贝测试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</w:t>
            </w:r>
            <w:r>
              <w:rPr>
                <w:rFonts w:ascii="宋体" w:eastAsia="宋体" w:hAnsi="宋体"/>
              </w:rPr>
              <w:t>GR20221226SQS305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A296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C1D7E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F97A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F97A38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</w:t>
            </w:r>
            <w:r w:rsidR="00F97A38">
              <w:rPr>
                <w:rFonts w:ascii="宋体" w:eastAsia="宋体" w:hAnsi="宋体" w:hint="eastAsia"/>
              </w:rPr>
              <w:t>智能气控产品开发部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F97A38">
              <w:rPr>
                <w:rFonts w:ascii="宋体" w:eastAsia="宋体" w:hAnsi="宋体" w:hint="eastAsia"/>
              </w:rPr>
              <w:t>2.1底座座椅</w:t>
            </w:r>
            <w:r w:rsidR="00F97A38">
              <w:rPr>
                <w:rFonts w:ascii="宋体" w:hAnsi="宋体" w:hint="eastAsia"/>
                <w:kern w:val="0"/>
                <w:szCs w:val="20"/>
              </w:rPr>
              <w:t>升降开关气阀</w:t>
            </w:r>
            <w:r>
              <w:rPr>
                <w:rFonts w:ascii="宋体" w:eastAsia="宋体" w:hAnsi="宋体" w:hint="eastAsia"/>
              </w:rPr>
              <w:t>按照</w:t>
            </w:r>
            <w:r w:rsidR="00F97A38">
              <w:rPr>
                <w:rFonts w:ascii="宋体" w:eastAsia="宋体" w:hAnsi="宋体" w:hint="eastAsia"/>
              </w:rPr>
              <w:t>编号</w:t>
            </w:r>
            <w:r w:rsidR="00F97A38">
              <w:rPr>
                <w:rFonts w:ascii="宋体" w:eastAsia="宋体" w:hAnsi="宋体"/>
              </w:rPr>
              <w:t>GR20221226SQS305</w:t>
            </w:r>
            <w:r w:rsidR="00F97A38">
              <w:rPr>
                <w:rFonts w:ascii="宋体" w:eastAsia="宋体" w:hAnsi="宋体"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，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97A38">
              <w:rPr>
                <w:rFonts w:ascii="宋体" w:eastAsia="宋体" w:hAnsi="宋体" w:hint="eastAsia"/>
              </w:rPr>
              <w:t>排气噪音分贝测试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F97A38">
              <w:rPr>
                <w:rFonts w:ascii="宋体" w:eastAsia="宋体" w:hAnsi="宋体" w:hint="eastAsia"/>
              </w:rPr>
              <w:t>结果</w:t>
            </w:r>
            <w:r w:rsidR="00486785">
              <w:rPr>
                <w:rFonts w:ascii="宋体" w:eastAsia="宋体" w:hAnsi="宋体" w:hint="eastAsia"/>
              </w:rPr>
              <w:t>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A296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785">
                  <w:rPr>
                    <w:rFonts w:eastAsia="宋体" w:cs="Arial" w:hint="eastAsia"/>
                    <w:color w:val="000000"/>
                  </w:rPr>
                  <w:t>2022</w:t>
                </w:r>
                <w:r w:rsidR="00486785">
                  <w:rPr>
                    <w:rFonts w:eastAsia="宋体" w:cs="Arial" w:hint="eastAsia"/>
                    <w:color w:val="000000"/>
                  </w:rPr>
                  <w:t>年</w:t>
                </w:r>
                <w:r w:rsidR="00486785">
                  <w:rPr>
                    <w:rFonts w:eastAsia="宋体" w:cs="Arial" w:hint="eastAsia"/>
                    <w:color w:val="000000"/>
                  </w:rPr>
                  <w:t>12</w:t>
                </w:r>
                <w:r w:rsidR="00486785">
                  <w:rPr>
                    <w:rFonts w:eastAsia="宋体" w:cs="Arial" w:hint="eastAsia"/>
                    <w:color w:val="000000"/>
                  </w:rPr>
                  <w:t>月</w:t>
                </w:r>
                <w:r w:rsidR="00486785">
                  <w:rPr>
                    <w:rFonts w:eastAsia="宋体" w:cs="Arial" w:hint="eastAsia"/>
                    <w:color w:val="000000"/>
                  </w:rPr>
                  <w:t>27</w:t>
                </w:r>
                <w:r w:rsidR="004867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785">
                  <w:rPr>
                    <w:rFonts w:eastAsia="宋体" w:cs="Arial" w:hint="eastAsia"/>
                    <w:color w:val="000000"/>
                  </w:rPr>
                  <w:t>2022</w:t>
                </w:r>
                <w:r w:rsidR="00486785">
                  <w:rPr>
                    <w:rFonts w:eastAsia="宋体" w:cs="Arial" w:hint="eastAsia"/>
                    <w:color w:val="000000"/>
                  </w:rPr>
                  <w:t>年</w:t>
                </w:r>
                <w:r w:rsidR="00486785">
                  <w:rPr>
                    <w:rFonts w:eastAsia="宋体" w:cs="Arial" w:hint="eastAsia"/>
                    <w:color w:val="000000"/>
                  </w:rPr>
                  <w:t>12</w:t>
                </w:r>
                <w:r w:rsidR="00486785">
                  <w:rPr>
                    <w:rFonts w:eastAsia="宋体" w:cs="Arial" w:hint="eastAsia"/>
                    <w:color w:val="000000"/>
                  </w:rPr>
                  <w:t>月</w:t>
                </w:r>
                <w:r w:rsidR="00486785">
                  <w:rPr>
                    <w:rFonts w:eastAsia="宋体" w:cs="Arial" w:hint="eastAsia"/>
                    <w:color w:val="000000"/>
                  </w:rPr>
                  <w:t>27</w:t>
                </w:r>
                <w:r w:rsidR="004867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F7F3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F7F31">
              <w:rPr>
                <w:rFonts w:eastAsia="宋体" w:cs="Arial" w:hint="eastAsia"/>
                <w:color w:val="000000"/>
              </w:rPr>
              <w:t>6.4</w:t>
            </w:r>
            <w:r w:rsidR="00486785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F7F31">
              <w:rPr>
                <w:rFonts w:eastAsia="宋体" w:cs="Arial" w:hint="eastAsia"/>
                <w:color w:val="000000"/>
              </w:rPr>
              <w:t>28.</w:t>
            </w:r>
            <w:bookmarkStart w:id="0" w:name="_GoBack"/>
            <w:bookmarkEnd w:id="0"/>
            <w:r w:rsidR="008F7F31">
              <w:rPr>
                <w:rFonts w:eastAsia="宋体" w:cs="Arial" w:hint="eastAsia"/>
                <w:color w:val="000000"/>
              </w:rPr>
              <w:t>3</w:t>
            </w:r>
            <w:r w:rsidR="00486785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F97A38" w:rsidP="00D16F64">
            <w:pPr>
              <w:ind w:right="-102"/>
              <w:jc w:val="center"/>
              <w:rPr>
                <w:rFonts w:ascii="宋体" w:hAnsi="宋体"/>
              </w:rPr>
            </w:pPr>
            <w:r w:rsidRPr="00F97A38">
              <w:rPr>
                <w:rFonts w:ascii="宋体" w:hAnsi="宋体" w:hint="eastAsia"/>
              </w:rPr>
              <w:t>噪声测试系统（麦克风）</w:t>
            </w:r>
          </w:p>
        </w:tc>
        <w:tc>
          <w:tcPr>
            <w:tcW w:w="1418" w:type="dxa"/>
            <w:vAlign w:val="center"/>
          </w:tcPr>
          <w:p w:rsidR="00486785" w:rsidRPr="0033390F" w:rsidRDefault="00F97A38" w:rsidP="00D16F64">
            <w:pPr>
              <w:ind w:right="-102"/>
              <w:jc w:val="center"/>
              <w:rPr>
                <w:rFonts w:ascii="宋体" w:hAnsi="宋体"/>
              </w:rPr>
            </w:pPr>
            <w:r w:rsidRPr="00F97A38">
              <w:rPr>
                <w:rFonts w:ascii="宋体" w:hAnsi="宋体"/>
              </w:rPr>
              <w:t>Q-026</w:t>
            </w:r>
          </w:p>
        </w:tc>
        <w:tc>
          <w:tcPr>
            <w:tcW w:w="1417" w:type="dxa"/>
            <w:vAlign w:val="center"/>
          </w:tcPr>
          <w:p w:rsidR="00486785" w:rsidRPr="0033390F" w:rsidRDefault="00F97A38" w:rsidP="00D16F64">
            <w:pPr>
              <w:ind w:right="-102"/>
              <w:jc w:val="center"/>
              <w:rPr>
                <w:rFonts w:ascii="宋体" w:hAnsi="宋体"/>
              </w:rPr>
            </w:pPr>
            <w:r w:rsidRPr="00F97A38">
              <w:rPr>
                <w:rFonts w:ascii="宋体" w:hAnsi="宋体"/>
              </w:rPr>
              <w:t>DT9837</w:t>
            </w:r>
          </w:p>
        </w:tc>
        <w:tc>
          <w:tcPr>
            <w:tcW w:w="2192" w:type="dxa"/>
            <w:vAlign w:val="center"/>
          </w:tcPr>
          <w:p w:rsidR="00486785" w:rsidRPr="0033390F" w:rsidRDefault="00F97A38" w:rsidP="00D16F64">
            <w:pPr>
              <w:ind w:right="-102"/>
              <w:jc w:val="center"/>
              <w:rPr>
                <w:rFonts w:ascii="宋体" w:hAnsi="宋体"/>
              </w:rPr>
            </w:pPr>
            <w:r w:rsidRPr="00F97A38">
              <w:rPr>
                <w:rFonts w:ascii="宋体" w:hAnsi="宋体" w:hint="eastAsia"/>
              </w:rPr>
              <w:t>恒信大友（北京）科技有限公司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97A38" w:rsidP="00D16F64">
            <w:pPr>
              <w:ind w:right="-102"/>
              <w:jc w:val="center"/>
              <w:rPr>
                <w:rFonts w:ascii="宋体" w:hAnsi="宋体"/>
              </w:rPr>
            </w:pPr>
            <w:r w:rsidRPr="00F97A38"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F97A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F97A38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F97A38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F97A38" w:rsidRDefault="00F97A38" w:rsidP="00F97A38">
            <w:pPr>
              <w:rPr>
                <w:rFonts w:ascii="宋体" w:hAnsi="宋体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1.使用快插接头将一号升降开关气路总成连接至2.1底座座椅上，接通0.8~1.0MPa气压气源，将座椅升高到最高后，向下扳动手柄开关，直到座椅降到最低点，记录座椅下降过程中，升降气阀排气时的噪音分贝值，重复5次；</w:t>
            </w:r>
          </w:p>
          <w:p w:rsidR="00F97A38" w:rsidRDefault="00F97A38" w:rsidP="00F97A38">
            <w:pPr>
              <w:rPr>
                <w:rFonts w:ascii="宋体" w:hAnsi="宋体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2.将一号升降开关气路总成取下，更换为二号升降开关气路总成，重复步骤1；</w:t>
            </w:r>
          </w:p>
          <w:p w:rsidR="002A220A" w:rsidRPr="00486785" w:rsidRDefault="00F97A38" w:rsidP="00F97A3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  <w:kern w:val="0"/>
                <w:szCs w:val="20"/>
              </w:rPr>
              <w:t>3.将二号升降开关气路总成取下，更换为三号升降气路总成，重复步骤1。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486785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952" w:type="dxa"/>
              <w:tblLook w:val="04A0" w:firstRow="1" w:lastRow="0" w:firstColumn="1" w:lastColumn="0" w:noHBand="0" w:noVBand="1"/>
            </w:tblPr>
            <w:tblGrid>
              <w:gridCol w:w="1264"/>
              <w:gridCol w:w="1783"/>
              <w:gridCol w:w="1102"/>
              <w:gridCol w:w="958"/>
              <w:gridCol w:w="961"/>
              <w:gridCol w:w="962"/>
              <w:gridCol w:w="961"/>
              <w:gridCol w:w="961"/>
            </w:tblGrid>
            <w:tr w:rsidR="00B30FDF" w:rsidTr="00884135">
              <w:trPr>
                <w:trHeight w:val="696"/>
              </w:trPr>
              <w:tc>
                <w:tcPr>
                  <w:tcW w:w="12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气压（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dB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B30FDF" w:rsidTr="00802385">
              <w:trPr>
                <w:trHeight w:val="711"/>
              </w:trPr>
              <w:tc>
                <w:tcPr>
                  <w:tcW w:w="126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Pr="009F3676" w:rsidRDefault="009F3676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F367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升降开关气阀</w:t>
                  </w:r>
                </w:p>
              </w:tc>
              <w:tc>
                <w:tcPr>
                  <w:tcW w:w="1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9F3676" w:rsidP="009F367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305-001-202212</w:t>
                  </w:r>
                </w:p>
              </w:tc>
              <w:tc>
                <w:tcPr>
                  <w:tcW w:w="11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</w:t>
                  </w:r>
                </w:p>
              </w:tc>
              <w:tc>
                <w:tcPr>
                  <w:tcW w:w="9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58.4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57.8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57.3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57.9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Default="00802385" w:rsidP="008023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</w:tr>
            <w:tr w:rsidR="00B30FDF" w:rsidTr="00884135">
              <w:trPr>
                <w:trHeight w:val="749"/>
              </w:trPr>
              <w:tc>
                <w:tcPr>
                  <w:tcW w:w="126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Pr="009F3676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:rsidR="00B30FDF" w:rsidRDefault="009F3676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305-002-202212</w:t>
                  </w:r>
                </w:p>
              </w:tc>
              <w:tc>
                <w:tcPr>
                  <w:tcW w:w="1102" w:type="dxa"/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</w:t>
                  </w:r>
                </w:p>
              </w:tc>
              <w:tc>
                <w:tcPr>
                  <w:tcW w:w="958" w:type="dxa"/>
                  <w:tcBorders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50.9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51.1</w:t>
                  </w:r>
                </w:p>
              </w:tc>
              <w:tc>
                <w:tcPr>
                  <w:tcW w:w="9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51.4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51.9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48.2</w:t>
                  </w:r>
                </w:p>
              </w:tc>
            </w:tr>
            <w:tr w:rsidR="00B30FDF" w:rsidTr="00884135">
              <w:trPr>
                <w:trHeight w:val="731"/>
              </w:trPr>
              <w:tc>
                <w:tcPr>
                  <w:tcW w:w="126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30FDF" w:rsidRPr="009F3676" w:rsidRDefault="00B30FDF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83" w:type="dxa"/>
                  <w:vAlign w:val="center"/>
                </w:tcPr>
                <w:p w:rsidR="00B30FDF" w:rsidRPr="009F3676" w:rsidRDefault="009F3676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F367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305-003-202212</w:t>
                  </w:r>
                </w:p>
              </w:tc>
              <w:tc>
                <w:tcPr>
                  <w:tcW w:w="1102" w:type="dxa"/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0.8</w:t>
                  </w:r>
                </w:p>
              </w:tc>
              <w:tc>
                <w:tcPr>
                  <w:tcW w:w="958" w:type="dxa"/>
                  <w:tcBorders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40.1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40.6</w:t>
                  </w:r>
                </w:p>
              </w:tc>
              <w:tc>
                <w:tcPr>
                  <w:tcW w:w="9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39.7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40.7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vAlign w:val="center"/>
                </w:tcPr>
                <w:p w:rsidR="00B30FDF" w:rsidRDefault="00802385" w:rsidP="0088413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38.6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7C90353F" wp14:editId="43579DB5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101884" cy="2326413"/>
                  <wp:effectExtent l="0" t="0" r="381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884" cy="232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6C" w:rsidRDefault="00EA296C">
      <w:r>
        <w:separator/>
      </w:r>
    </w:p>
  </w:endnote>
  <w:endnote w:type="continuationSeparator" w:id="0">
    <w:p w:rsidR="00EA296C" w:rsidRDefault="00EA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891D91" wp14:editId="0E400EF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6C" w:rsidRDefault="00EA296C">
      <w:r>
        <w:separator/>
      </w:r>
    </w:p>
  </w:footnote>
  <w:footnote w:type="continuationSeparator" w:id="0">
    <w:p w:rsidR="00EA296C" w:rsidRDefault="00EA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18B02A6" wp14:editId="3CF163A9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97A38" w:rsidRPr="00F97A38">
      <w:rPr>
        <w:rFonts w:ascii="宋体" w:eastAsia="宋体" w:hAnsi="宋体"/>
        <w:sz w:val="21"/>
        <w:szCs w:val="21"/>
      </w:rPr>
      <w:t>GR20221226SQS305-0881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F7F31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F7F3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239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45C1"/>
    <w:rsid w:val="00486785"/>
    <w:rsid w:val="004B04FE"/>
    <w:rsid w:val="004F6785"/>
    <w:rsid w:val="005019CB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D2C8F"/>
    <w:rsid w:val="0061322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7F48BA"/>
    <w:rsid w:val="00800D3F"/>
    <w:rsid w:val="00802385"/>
    <w:rsid w:val="00814D73"/>
    <w:rsid w:val="00831246"/>
    <w:rsid w:val="008362EC"/>
    <w:rsid w:val="0087152F"/>
    <w:rsid w:val="00890A68"/>
    <w:rsid w:val="008A62B5"/>
    <w:rsid w:val="008D357E"/>
    <w:rsid w:val="008D48E0"/>
    <w:rsid w:val="008F7F31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9F367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30FDF"/>
    <w:rsid w:val="00B448CA"/>
    <w:rsid w:val="00B551D3"/>
    <w:rsid w:val="00B61DD2"/>
    <w:rsid w:val="00B749BE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51B6F"/>
    <w:rsid w:val="00E94E15"/>
    <w:rsid w:val="00EA296C"/>
    <w:rsid w:val="00EB2A3D"/>
    <w:rsid w:val="00F26B63"/>
    <w:rsid w:val="00F53F2E"/>
    <w:rsid w:val="00F8503A"/>
    <w:rsid w:val="00F97A3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C208-BDC6-41D5-9970-96C67696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20</cp:revision>
  <dcterms:created xsi:type="dcterms:W3CDTF">2022-11-04T08:53:00Z</dcterms:created>
  <dcterms:modified xsi:type="dcterms:W3CDTF">2022-12-27T08:20:00Z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