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56" w:beforeLines="50" w:after="156" w:afterLines="50" w:line="440" w:lineRule="exact"/>
        <w:jc w:val="center"/>
        <w:rPr>
          <w:rFonts w:ascii="宋体" w:hAnsi="宋体"/>
          <w:b/>
          <w:bCs/>
          <w:color w:val="000000"/>
          <w:sz w:val="44"/>
          <w:szCs w:val="44"/>
        </w:rPr>
      </w:pPr>
    </w:p>
    <w:p>
      <w:pPr>
        <w:autoSpaceDE w:val="0"/>
        <w:autoSpaceDN w:val="0"/>
        <w:adjustRightInd w:val="0"/>
        <w:snapToGrid w:val="0"/>
        <w:spacing w:before="156" w:beforeLines="50" w:after="156" w:afterLines="50" w:line="440" w:lineRule="exact"/>
        <w:jc w:val="center"/>
        <w:rPr>
          <w:rFonts w:ascii="宋体" w:hAnsi="宋体"/>
          <w:b/>
          <w:bCs/>
          <w:color w:val="000000"/>
          <w:sz w:val="44"/>
          <w:szCs w:val="44"/>
        </w:rPr>
      </w:pPr>
      <w:bookmarkStart w:id="0" w:name="_Hlk111195247"/>
    </w:p>
    <w:p>
      <w:pPr>
        <w:autoSpaceDE w:val="0"/>
        <w:autoSpaceDN w:val="0"/>
        <w:adjustRightInd w:val="0"/>
        <w:snapToGrid w:val="0"/>
        <w:spacing w:before="156" w:beforeLines="50" w:after="156" w:afterLines="50" w:line="440" w:lineRule="exact"/>
        <w:jc w:val="center"/>
        <w:rPr>
          <w:rFonts w:ascii="宋体" w:hAnsi="宋体"/>
          <w:b/>
          <w:bCs/>
          <w:color w:val="000000"/>
          <w:sz w:val="44"/>
          <w:szCs w:val="44"/>
        </w:rPr>
      </w:pPr>
    </w:p>
    <w:p>
      <w:pPr>
        <w:autoSpaceDE w:val="0"/>
        <w:autoSpaceDN w:val="0"/>
        <w:adjustRightInd w:val="0"/>
        <w:snapToGrid w:val="0"/>
        <w:spacing w:before="156" w:beforeLines="50" w:after="156" w:afterLines="50" w:line="440" w:lineRule="exact"/>
        <w:jc w:val="center"/>
        <w:rPr>
          <w:rFonts w:ascii="宋体" w:hAnsi="宋体"/>
          <w:b/>
          <w:bCs/>
          <w:color w:val="000000"/>
          <w:sz w:val="44"/>
          <w:szCs w:val="44"/>
        </w:rPr>
      </w:pPr>
    </w:p>
    <w:p>
      <w:pPr>
        <w:autoSpaceDE w:val="0"/>
        <w:autoSpaceDN w:val="0"/>
        <w:adjustRightInd w:val="0"/>
        <w:snapToGrid w:val="0"/>
        <w:spacing w:before="156" w:beforeLines="50" w:after="156" w:afterLines="50" w:line="440" w:lineRule="exact"/>
        <w:jc w:val="center"/>
        <w:rPr>
          <w:rFonts w:ascii="宋体" w:hAnsi="宋体"/>
          <w:b/>
          <w:bCs/>
          <w:color w:val="000000"/>
          <w:sz w:val="44"/>
          <w:szCs w:val="44"/>
        </w:rPr>
      </w:pPr>
      <w:r>
        <w:rPr>
          <w:rFonts w:hint="eastAsia" w:ascii="宋体" w:hAnsi="宋体"/>
          <w:b/>
          <w:bCs/>
          <w:color w:val="000000"/>
          <w:sz w:val="44"/>
          <w:szCs w:val="44"/>
        </w:rPr>
        <w:t>新产品开发合同</w:t>
      </w: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tabs>
          <w:tab w:val="left" w:pos="7056"/>
        </w:tabs>
        <w:snapToGrid w:val="0"/>
        <w:spacing w:before="156" w:beforeLines="50" w:after="156" w:afterLines="50" w:line="440" w:lineRule="exact"/>
        <w:rPr>
          <w:rFonts w:ascii="宋体" w:hAnsi="宋体"/>
          <w:color w:val="000000"/>
          <w:sz w:val="18"/>
          <w:szCs w:val="18"/>
        </w:rPr>
      </w:pPr>
      <w:r>
        <w:rPr>
          <w:rFonts w:ascii="宋体" w:hAnsi="宋体"/>
          <w:color w:val="000000"/>
          <w:sz w:val="18"/>
          <w:szCs w:val="18"/>
        </w:rPr>
        <w:tab/>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5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01" w:type="dxa"/>
          </w:tcPr>
          <w:p>
            <w:pPr>
              <w:snapToGrid w:val="0"/>
              <w:spacing w:before="156" w:beforeLines="50" w:after="156" w:afterLines="50" w:line="440" w:lineRule="exact"/>
              <w:rPr>
                <w:rFonts w:ascii="宋体" w:hAnsi="宋体"/>
                <w:color w:val="000000"/>
                <w:sz w:val="32"/>
                <w:szCs w:val="32"/>
              </w:rPr>
            </w:pPr>
            <w:r>
              <w:rPr>
                <w:rFonts w:ascii="宋体" w:hAnsi="宋体"/>
                <w:color w:val="000000"/>
                <w:sz w:val="32"/>
                <w:szCs w:val="32"/>
              </w:rPr>
              <w:t>项目名称</w:t>
            </w:r>
            <w:r>
              <w:rPr>
                <w:rFonts w:hint="eastAsia" w:ascii="宋体" w:hAnsi="宋体"/>
                <w:color w:val="000000"/>
                <w:sz w:val="32"/>
                <w:szCs w:val="32"/>
              </w:rPr>
              <w:t>：</w:t>
            </w:r>
          </w:p>
        </w:tc>
        <w:tc>
          <w:tcPr>
            <w:tcW w:w="5324" w:type="dxa"/>
          </w:tcPr>
          <w:p>
            <w:pPr>
              <w:snapToGrid w:val="0"/>
              <w:spacing w:before="156" w:beforeLines="50" w:after="156" w:afterLines="50" w:line="440" w:lineRule="exact"/>
              <w:ind w:firstLine="1600" w:firstLineChars="500"/>
              <w:rPr>
                <w:rFonts w:ascii="宋体" w:hAnsi="宋体"/>
                <w:color w:val="000000"/>
                <w:sz w:val="32"/>
                <w:szCs w:val="32"/>
                <w:u w:val="single"/>
              </w:rPr>
            </w:pPr>
            <w:r>
              <w:rPr>
                <w:rFonts w:ascii="宋体" w:hAnsi="宋体"/>
                <w:color w:val="000000"/>
                <w:sz w:val="32"/>
                <w:szCs w:val="32"/>
                <w:u w:val="single"/>
              </w:rPr>
              <w:t>G</w:t>
            </w:r>
            <w:r>
              <w:rPr>
                <w:rFonts w:hint="eastAsia" w:ascii="宋体" w:hAnsi="宋体"/>
                <w:color w:val="000000"/>
                <w:sz w:val="32"/>
                <w:szCs w:val="32"/>
                <w:u w:val="single"/>
              </w:rPr>
              <w:t xml:space="preserve">3项目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Pr>
          <w:p>
            <w:pPr>
              <w:snapToGrid w:val="0"/>
              <w:spacing w:before="156" w:beforeLines="50" w:after="156" w:afterLines="50" w:line="440" w:lineRule="exact"/>
              <w:rPr>
                <w:rFonts w:ascii="宋体" w:hAnsi="宋体"/>
                <w:color w:val="000000"/>
                <w:sz w:val="32"/>
                <w:szCs w:val="32"/>
              </w:rPr>
            </w:pPr>
            <w:r>
              <w:rPr>
                <w:rFonts w:ascii="宋体" w:hAnsi="宋体"/>
                <w:color w:val="000000"/>
                <w:sz w:val="32"/>
                <w:szCs w:val="32"/>
              </w:rPr>
              <w:t>合同编号</w:t>
            </w:r>
            <w:r>
              <w:rPr>
                <w:rFonts w:hint="eastAsia" w:ascii="宋体" w:hAnsi="宋体"/>
                <w:color w:val="000000"/>
                <w:sz w:val="32"/>
                <w:szCs w:val="32"/>
              </w:rPr>
              <w:t>：</w:t>
            </w:r>
          </w:p>
        </w:tc>
        <w:tc>
          <w:tcPr>
            <w:tcW w:w="5324" w:type="dxa"/>
          </w:tcPr>
          <w:p>
            <w:pPr>
              <w:snapToGrid w:val="0"/>
              <w:spacing w:before="156" w:beforeLines="50" w:after="156" w:afterLines="50" w:line="440" w:lineRule="exact"/>
              <w:rPr>
                <w:rFonts w:ascii="宋体" w:hAnsi="宋体"/>
                <w:color w:val="000000"/>
                <w:sz w:val="32"/>
                <w:szCs w:val="32"/>
              </w:rPr>
            </w:pPr>
            <w:r>
              <w:rPr>
                <w:rFonts w:hint="eastAsia" w:ascii="宋体" w:hAnsi="宋体"/>
                <w:color w:val="000000"/>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Pr>
          <w:p>
            <w:pPr>
              <w:snapToGrid w:val="0"/>
              <w:spacing w:before="156" w:beforeLines="50" w:after="156" w:afterLines="50" w:line="440" w:lineRule="exact"/>
              <w:rPr>
                <w:rFonts w:ascii="宋体" w:hAnsi="宋体"/>
                <w:color w:val="000000"/>
                <w:sz w:val="32"/>
                <w:szCs w:val="32"/>
              </w:rPr>
            </w:pPr>
            <w:r>
              <w:rPr>
                <w:rFonts w:hint="eastAsia" w:ascii="宋体" w:hAnsi="宋体"/>
                <w:color w:val="000000"/>
                <w:sz w:val="32"/>
                <w:szCs w:val="32"/>
              </w:rPr>
              <w:t>签订地点：</w:t>
            </w:r>
          </w:p>
        </w:tc>
        <w:tc>
          <w:tcPr>
            <w:tcW w:w="5324" w:type="dxa"/>
          </w:tcPr>
          <w:p>
            <w:pPr>
              <w:snapToGrid w:val="0"/>
              <w:spacing w:before="156" w:beforeLines="50" w:after="156" w:afterLines="50" w:line="440" w:lineRule="exact"/>
              <w:rPr>
                <w:rFonts w:ascii="宋体" w:hAnsi="宋体"/>
                <w:color w:val="000000"/>
                <w:sz w:val="32"/>
                <w:szCs w:val="32"/>
              </w:rPr>
            </w:pPr>
            <w:r>
              <w:rPr>
                <w:rFonts w:hint="eastAsia" w:ascii="宋体" w:hAnsi="宋体"/>
                <w:color w:val="000000"/>
                <w:sz w:val="32"/>
                <w:szCs w:val="32"/>
                <w:u w:val="single"/>
              </w:rPr>
              <w:t xml:space="preserve">           市 </w:t>
            </w:r>
            <w:r>
              <w:rPr>
                <w:rFonts w:ascii="宋体" w:hAnsi="宋体"/>
                <w:color w:val="000000"/>
                <w:sz w:val="32"/>
                <w:szCs w:val="32"/>
                <w:u w:val="single"/>
              </w:rPr>
              <w:t xml:space="preserve">    </w:t>
            </w:r>
            <w:r>
              <w:rPr>
                <w:rFonts w:hint="eastAsia" w:ascii="宋体" w:hAnsi="宋体"/>
                <w:color w:val="000000"/>
                <w:sz w:val="32"/>
                <w:szCs w:val="32"/>
                <w:u w:val="single"/>
              </w:rPr>
              <w:t xml:space="preserve">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Pr>
          <w:p>
            <w:pPr>
              <w:snapToGrid w:val="0"/>
              <w:spacing w:before="156" w:beforeLines="50" w:after="156" w:afterLines="50" w:line="440" w:lineRule="exact"/>
              <w:rPr>
                <w:rFonts w:ascii="宋体" w:hAnsi="宋体"/>
                <w:color w:val="000000"/>
                <w:sz w:val="32"/>
                <w:szCs w:val="32"/>
              </w:rPr>
            </w:pPr>
            <w:r>
              <w:rPr>
                <w:rFonts w:hint="eastAsia" w:ascii="宋体" w:hAnsi="宋体"/>
                <w:color w:val="000000"/>
                <w:sz w:val="32"/>
                <w:szCs w:val="32"/>
              </w:rPr>
              <w:t>签订日期：</w:t>
            </w:r>
          </w:p>
        </w:tc>
        <w:tc>
          <w:tcPr>
            <w:tcW w:w="5324" w:type="dxa"/>
          </w:tcPr>
          <w:p>
            <w:pPr>
              <w:snapToGrid w:val="0"/>
              <w:spacing w:before="156" w:beforeLines="50" w:after="156" w:afterLines="50" w:line="440" w:lineRule="exact"/>
              <w:rPr>
                <w:rFonts w:ascii="宋体" w:hAnsi="宋体"/>
                <w:color w:val="000000"/>
                <w:sz w:val="32"/>
                <w:szCs w:val="32"/>
              </w:rPr>
            </w:pPr>
            <w:r>
              <w:rPr>
                <w:rFonts w:hint="eastAsia" w:ascii="宋体" w:hAnsi="宋体"/>
                <w:color w:val="000000"/>
                <w:sz w:val="32"/>
                <w:szCs w:val="32"/>
                <w:u w:val="single"/>
              </w:rPr>
              <w:t xml:space="preserve">                                 </w:t>
            </w:r>
          </w:p>
        </w:tc>
      </w:tr>
    </w:tbl>
    <w:p>
      <w:pPr>
        <w:snapToGrid w:val="0"/>
        <w:spacing w:before="156" w:beforeLines="50" w:after="156" w:afterLines="50" w:line="440" w:lineRule="exact"/>
        <w:rPr>
          <w:rFonts w:ascii="宋体" w:hAnsi="宋体"/>
          <w:color w:val="000000"/>
          <w:sz w:val="18"/>
          <w:szCs w:val="18"/>
        </w:rPr>
      </w:pPr>
    </w:p>
    <w:bookmarkEnd w:id="0"/>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156" w:beforeLines="50" w:after="156" w:afterLines="50" w:line="440" w:lineRule="exact"/>
        <w:rPr>
          <w:rFonts w:ascii="宋体" w:hAnsi="宋体"/>
          <w:color w:val="000000"/>
          <w:sz w:val="18"/>
          <w:szCs w:val="18"/>
        </w:rPr>
      </w:pPr>
    </w:p>
    <w:p>
      <w:pPr>
        <w:snapToGrid w:val="0"/>
        <w:spacing w:before="312" w:beforeLines="100" w:after="312" w:afterLines="100" w:line="440" w:lineRule="exact"/>
        <w:jc w:val="center"/>
        <w:rPr>
          <w:rFonts w:ascii="宋体" w:hAnsi="宋体"/>
          <w:b/>
          <w:bCs/>
          <w:color w:val="000000"/>
          <w:sz w:val="44"/>
          <w:szCs w:val="44"/>
        </w:rPr>
      </w:pPr>
      <w:r>
        <w:rPr>
          <w:rFonts w:hint="eastAsia" w:ascii="宋体" w:hAnsi="宋体"/>
          <w:b/>
          <w:bCs/>
          <w:color w:val="000000"/>
          <w:sz w:val="44"/>
          <w:szCs w:val="44"/>
        </w:rPr>
        <w:t>新产品开发合同</w:t>
      </w:r>
    </w:p>
    <w:p>
      <w:pPr>
        <w:spacing w:before="156" w:beforeLines="50" w:after="156" w:afterLines="50" w:line="440" w:lineRule="exact"/>
        <w:ind w:left="420" w:leftChars="200" w:right="420" w:rightChars="200"/>
        <w:rPr>
          <w:rFonts w:ascii="宋体" w:hAnsi="宋体" w:cs="Arial"/>
          <w:b/>
          <w:bCs/>
          <w:color w:val="000000"/>
          <w:sz w:val="24"/>
        </w:rPr>
      </w:pPr>
      <w:r>
        <w:rPr>
          <w:rFonts w:hint="eastAsia" w:ascii="宋体" w:hAnsi="宋体" w:cs="Arial"/>
          <w:b/>
          <w:bCs/>
          <w:color w:val="000000"/>
          <w:sz w:val="24"/>
        </w:rPr>
        <w:t>委托方：</w:t>
      </w:r>
      <w:bookmarkStart w:id="1" w:name="_Hlk53156569"/>
      <w:r>
        <w:rPr>
          <w:rFonts w:hint="eastAsia" w:ascii="宋体" w:hAnsi="宋体"/>
          <w:color w:val="000000"/>
          <w:sz w:val="28"/>
          <w:szCs w:val="28"/>
          <w:u w:val="single"/>
        </w:rPr>
        <w:t>浙江远程商用车研发有限公司</w:t>
      </w:r>
      <w:r>
        <w:rPr>
          <w:rFonts w:hint="eastAsia" w:ascii="宋体" w:hAnsi="宋体" w:cs="Arial"/>
          <w:b/>
          <w:bCs/>
          <w:color w:val="000000"/>
          <w:sz w:val="24"/>
        </w:rPr>
        <w:t>（以下简称“甲方”）</w:t>
      </w:r>
      <w:bookmarkEnd w:id="1"/>
    </w:p>
    <w:p>
      <w:pPr>
        <w:spacing w:before="156" w:beforeLines="50" w:after="156" w:afterLines="50" w:line="440" w:lineRule="exact"/>
        <w:ind w:left="420" w:leftChars="200" w:right="420" w:rightChars="200"/>
        <w:rPr>
          <w:rFonts w:ascii="宋体" w:hAnsi="宋体" w:cs="Arial"/>
          <w:b/>
          <w:bCs/>
          <w:color w:val="000000"/>
          <w:sz w:val="24"/>
        </w:rPr>
      </w:pPr>
      <w:r>
        <w:rPr>
          <w:rFonts w:hint="eastAsia" w:ascii="宋体" w:hAnsi="宋体" w:cs="Arial"/>
          <w:b/>
          <w:bCs/>
          <w:color w:val="000000"/>
          <w:sz w:val="24"/>
        </w:rPr>
        <w:t>受托方：</w:t>
      </w:r>
      <w:r>
        <w:rPr>
          <w:rFonts w:hint="eastAsia" w:ascii="宋体" w:hAnsi="宋体"/>
          <w:color w:val="000000"/>
          <w:sz w:val="28"/>
          <w:szCs w:val="28"/>
          <w:u w:val="single"/>
        </w:rPr>
        <w:t>北京光华荣昌汽车部件有限公司</w:t>
      </w:r>
      <w:r>
        <w:rPr>
          <w:rFonts w:hint="eastAsia" w:ascii="宋体" w:hAnsi="宋体" w:cs="Arial"/>
          <w:b/>
          <w:bCs/>
          <w:color w:val="000000"/>
          <w:sz w:val="24"/>
        </w:rPr>
        <w:t>（以下简称“乙方”）</w:t>
      </w:r>
    </w:p>
    <w:p>
      <w:pPr>
        <w:spacing w:before="156" w:beforeLines="50" w:after="156" w:afterLines="50" w:line="440" w:lineRule="exact"/>
        <w:ind w:firstLine="480" w:firstLineChars="200"/>
        <w:rPr>
          <w:rFonts w:ascii="宋体" w:hAnsi="宋体" w:cs="Arial"/>
          <w:color w:val="000000"/>
          <w:sz w:val="24"/>
          <w:szCs w:val="24"/>
        </w:rPr>
      </w:pPr>
      <w:bookmarkStart w:id="2" w:name="_Hlk53156649"/>
      <w:r>
        <w:rPr>
          <w:rFonts w:hint="eastAsia" w:ascii="宋体" w:hAnsi="宋体" w:cs="Arial"/>
          <w:color w:val="000000"/>
          <w:sz w:val="24"/>
          <w:szCs w:val="24"/>
        </w:rPr>
        <w:t>甲乙双方经充分、友好协商，就甲方委托乙方进行汽车零部件产品开发有关事宜，达成如下协议。</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第一条  产品的名称、规格、价格等</w:t>
      </w:r>
    </w:p>
    <w:tbl>
      <w:tblPr>
        <w:tblStyle w:val="8"/>
        <w:tblW w:w="10286" w:type="dxa"/>
        <w:tblInd w:w="-66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98"/>
        <w:gridCol w:w="425"/>
        <w:gridCol w:w="1134"/>
        <w:gridCol w:w="425"/>
        <w:gridCol w:w="709"/>
        <w:gridCol w:w="1276"/>
        <w:gridCol w:w="1134"/>
        <w:gridCol w:w="850"/>
        <w:gridCol w:w="993"/>
        <w:gridCol w:w="850"/>
        <w:gridCol w:w="9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498" w:type="dxa"/>
            <w:vMerge w:val="restart"/>
            <w:shd w:val="clear" w:color="auto" w:fill="auto"/>
            <w:tcMar>
              <w:top w:w="15" w:type="dxa"/>
              <w:left w:w="108" w:type="dxa"/>
              <w:bottom w:w="0" w:type="dxa"/>
              <w:right w:w="108" w:type="dxa"/>
            </w:tcMar>
            <w:vAlign w:val="center"/>
          </w:tcPr>
          <w:p>
            <w:pPr>
              <w:spacing w:before="50" w:after="50" w:line="440" w:lineRule="exact"/>
              <w:jc w:val="center"/>
              <w:rPr>
                <w:rFonts w:ascii="宋体" w:hAnsi="宋体" w:cs="Arial"/>
                <w:color w:val="000000"/>
                <w:kern w:val="0"/>
                <w:szCs w:val="21"/>
              </w:rPr>
            </w:pPr>
            <w:r>
              <w:rPr>
                <w:rFonts w:ascii="宋体" w:hAnsi="宋体" w:cs="Arial"/>
                <w:color w:val="000000"/>
                <w:kern w:val="0"/>
                <w:szCs w:val="21"/>
              </w:rPr>
              <w:t>产品</w:t>
            </w:r>
            <w:r>
              <w:rPr>
                <w:rFonts w:hint="eastAsia" w:ascii="宋体" w:hAnsi="宋体" w:cs="Arial"/>
                <w:color w:val="000000"/>
                <w:kern w:val="0"/>
                <w:szCs w:val="21"/>
              </w:rPr>
              <w:t xml:space="preserve">  </w:t>
            </w:r>
            <w:r>
              <w:rPr>
                <w:rFonts w:ascii="宋体" w:hAnsi="宋体" w:cs="Arial"/>
                <w:color w:val="000000"/>
                <w:kern w:val="0"/>
                <w:szCs w:val="21"/>
              </w:rPr>
              <w:t>名称</w:t>
            </w:r>
          </w:p>
        </w:tc>
        <w:tc>
          <w:tcPr>
            <w:tcW w:w="425" w:type="dxa"/>
            <w:vMerge w:val="restart"/>
            <w:shd w:val="clear" w:color="auto" w:fill="auto"/>
            <w:tcMar>
              <w:top w:w="15" w:type="dxa"/>
              <w:left w:w="108" w:type="dxa"/>
              <w:bottom w:w="0" w:type="dxa"/>
              <w:right w:w="108" w:type="dxa"/>
            </w:tcMar>
            <w:vAlign w:val="center"/>
          </w:tcPr>
          <w:p>
            <w:pPr>
              <w:spacing w:before="50" w:after="50" w:line="440" w:lineRule="exact"/>
              <w:jc w:val="center"/>
              <w:rPr>
                <w:rFonts w:ascii="宋体" w:hAnsi="宋体" w:cs="Arial"/>
                <w:color w:val="000000"/>
                <w:kern w:val="0"/>
                <w:szCs w:val="21"/>
              </w:rPr>
            </w:pPr>
            <w:r>
              <w:rPr>
                <w:rFonts w:ascii="宋体" w:hAnsi="宋体" w:cs="Arial"/>
                <w:color w:val="000000"/>
                <w:kern w:val="0"/>
                <w:szCs w:val="21"/>
              </w:rPr>
              <w:t>规格</w:t>
            </w:r>
          </w:p>
          <w:p>
            <w:pPr>
              <w:spacing w:before="50" w:after="50" w:line="440" w:lineRule="exact"/>
              <w:jc w:val="center"/>
              <w:rPr>
                <w:rFonts w:ascii="宋体" w:hAnsi="宋体" w:cs="Arial"/>
                <w:color w:val="000000"/>
                <w:kern w:val="0"/>
                <w:szCs w:val="21"/>
              </w:rPr>
            </w:pPr>
            <w:r>
              <w:rPr>
                <w:rFonts w:ascii="宋体" w:hAnsi="宋体" w:cs="Arial"/>
                <w:color w:val="000000"/>
                <w:kern w:val="0"/>
                <w:szCs w:val="21"/>
              </w:rPr>
              <w:t>型号</w:t>
            </w:r>
          </w:p>
        </w:tc>
        <w:tc>
          <w:tcPr>
            <w:tcW w:w="1134" w:type="dxa"/>
            <w:vMerge w:val="restart"/>
            <w:shd w:val="clear" w:color="auto" w:fill="auto"/>
            <w:tcMar>
              <w:top w:w="15" w:type="dxa"/>
              <w:left w:w="108" w:type="dxa"/>
              <w:bottom w:w="0" w:type="dxa"/>
              <w:right w:w="108" w:type="dxa"/>
            </w:tcMar>
            <w:vAlign w:val="center"/>
          </w:tcPr>
          <w:p>
            <w:pPr>
              <w:spacing w:before="50" w:after="50" w:line="440" w:lineRule="exact"/>
              <w:jc w:val="center"/>
              <w:rPr>
                <w:rFonts w:ascii="宋体" w:hAnsi="宋体" w:cs="Arial"/>
                <w:color w:val="000000"/>
                <w:kern w:val="0"/>
                <w:szCs w:val="21"/>
              </w:rPr>
            </w:pPr>
            <w:r>
              <w:rPr>
                <w:rFonts w:ascii="宋体" w:hAnsi="宋体" w:cs="Arial"/>
                <w:color w:val="000000"/>
                <w:kern w:val="0"/>
                <w:szCs w:val="21"/>
              </w:rPr>
              <w:t>零件</w:t>
            </w:r>
          </w:p>
          <w:p>
            <w:pPr>
              <w:spacing w:before="50" w:after="50" w:line="440" w:lineRule="exact"/>
              <w:jc w:val="center"/>
              <w:rPr>
                <w:rFonts w:ascii="宋体" w:hAnsi="宋体" w:cs="Arial"/>
                <w:color w:val="000000"/>
                <w:kern w:val="0"/>
                <w:szCs w:val="21"/>
              </w:rPr>
            </w:pPr>
            <w:r>
              <w:rPr>
                <w:rFonts w:ascii="宋体" w:hAnsi="宋体" w:cs="Arial"/>
                <w:color w:val="000000"/>
                <w:kern w:val="0"/>
                <w:szCs w:val="21"/>
              </w:rPr>
              <w:t>编码</w:t>
            </w:r>
          </w:p>
        </w:tc>
        <w:tc>
          <w:tcPr>
            <w:tcW w:w="425" w:type="dxa"/>
            <w:vMerge w:val="restart"/>
            <w:shd w:val="clear" w:color="auto" w:fill="auto"/>
            <w:tcMar>
              <w:top w:w="15" w:type="dxa"/>
              <w:left w:w="108" w:type="dxa"/>
              <w:bottom w:w="0" w:type="dxa"/>
              <w:right w:w="108" w:type="dxa"/>
            </w:tcMar>
            <w:vAlign w:val="center"/>
          </w:tcPr>
          <w:p>
            <w:pPr>
              <w:spacing w:before="50" w:after="50" w:line="440" w:lineRule="exact"/>
              <w:rPr>
                <w:rFonts w:ascii="宋体" w:hAnsi="宋体" w:cs="Arial"/>
                <w:color w:val="000000"/>
                <w:kern w:val="0"/>
                <w:szCs w:val="21"/>
              </w:rPr>
            </w:pPr>
            <w:r>
              <w:rPr>
                <w:rFonts w:ascii="宋体" w:hAnsi="宋体" w:cs="Arial"/>
                <w:color w:val="000000"/>
                <w:kern w:val="0"/>
                <w:szCs w:val="21"/>
              </w:rPr>
              <w:t>单位</w:t>
            </w:r>
          </w:p>
        </w:tc>
        <w:tc>
          <w:tcPr>
            <w:tcW w:w="709" w:type="dxa"/>
            <w:vMerge w:val="restart"/>
            <w:shd w:val="clear" w:color="auto" w:fill="auto"/>
            <w:tcMar>
              <w:top w:w="15" w:type="dxa"/>
              <w:left w:w="108" w:type="dxa"/>
              <w:bottom w:w="0" w:type="dxa"/>
              <w:right w:w="108" w:type="dxa"/>
            </w:tcMar>
            <w:vAlign w:val="center"/>
          </w:tcPr>
          <w:p>
            <w:pPr>
              <w:spacing w:before="50" w:after="50" w:line="440" w:lineRule="exact"/>
              <w:rPr>
                <w:rFonts w:ascii="宋体" w:hAnsi="宋体" w:cs="Arial"/>
                <w:color w:val="000000"/>
                <w:kern w:val="0"/>
                <w:szCs w:val="21"/>
              </w:rPr>
            </w:pPr>
            <w:r>
              <w:rPr>
                <w:rFonts w:ascii="宋体" w:hAnsi="宋体" w:cs="Arial"/>
                <w:color w:val="000000"/>
                <w:kern w:val="0"/>
                <w:szCs w:val="21"/>
              </w:rPr>
              <w:t>未税单价(元，未分摊)</w:t>
            </w:r>
          </w:p>
        </w:tc>
        <w:tc>
          <w:tcPr>
            <w:tcW w:w="5103" w:type="dxa"/>
            <w:gridSpan w:val="5"/>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b/>
                <w:color w:val="000000"/>
                <w:kern w:val="0"/>
                <w:szCs w:val="21"/>
              </w:rPr>
            </w:pPr>
            <w:r>
              <w:rPr>
                <w:rFonts w:hint="eastAsia" w:ascii="宋体" w:hAnsi="宋体" w:cs="Arial"/>
                <w:b/>
                <w:color w:val="000000"/>
                <w:kern w:val="0"/>
                <w:szCs w:val="21"/>
              </w:rPr>
              <w:t>产品</w:t>
            </w:r>
            <w:r>
              <w:rPr>
                <w:rFonts w:ascii="宋体" w:hAnsi="宋体" w:cs="Arial"/>
                <w:b/>
                <w:color w:val="000000"/>
                <w:kern w:val="0"/>
                <w:szCs w:val="21"/>
              </w:rPr>
              <w:t>开发费</w:t>
            </w:r>
          </w:p>
        </w:tc>
        <w:tc>
          <w:tcPr>
            <w:tcW w:w="992"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trPr>
        <w:tc>
          <w:tcPr>
            <w:tcW w:w="1498"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425" w:type="dxa"/>
            <w:vMerge w:val="continue"/>
            <w:shd w:val="clear" w:color="auto" w:fill="auto"/>
            <w:tcMar>
              <w:top w:w="15" w:type="dxa"/>
              <w:left w:w="108" w:type="dxa"/>
              <w:bottom w:w="0" w:type="dxa"/>
              <w:right w:w="108" w:type="dxa"/>
            </w:tcMar>
            <w:vAlign w:val="center"/>
          </w:tcPr>
          <w:p>
            <w:pPr>
              <w:spacing w:before="50" w:after="50" w:line="440" w:lineRule="exact"/>
              <w:jc w:val="center"/>
              <w:rPr>
                <w:rFonts w:ascii="宋体" w:hAnsi="宋体" w:cs="Arial"/>
                <w:color w:val="000000"/>
                <w:kern w:val="0"/>
                <w:szCs w:val="21"/>
              </w:rPr>
            </w:pPr>
          </w:p>
        </w:tc>
        <w:tc>
          <w:tcPr>
            <w:tcW w:w="1134"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425" w:type="dxa"/>
            <w:vMerge w:val="continue"/>
            <w:shd w:val="clear" w:color="auto" w:fill="auto"/>
            <w:tcMar>
              <w:top w:w="15" w:type="dxa"/>
              <w:left w:w="108" w:type="dxa"/>
              <w:bottom w:w="0" w:type="dxa"/>
              <w:right w:w="108" w:type="dxa"/>
            </w:tcMar>
            <w:vAlign w:val="center"/>
          </w:tcPr>
          <w:p>
            <w:pPr>
              <w:widowControl/>
              <w:spacing w:before="50" w:after="50" w:line="440" w:lineRule="exact"/>
              <w:rPr>
                <w:rFonts w:ascii="宋体" w:hAnsi="宋体" w:cs="Arial"/>
                <w:kern w:val="0"/>
                <w:szCs w:val="21"/>
              </w:rPr>
            </w:pPr>
          </w:p>
        </w:tc>
        <w:tc>
          <w:tcPr>
            <w:tcW w:w="709" w:type="dxa"/>
            <w:vMerge w:val="continue"/>
            <w:shd w:val="clear" w:color="auto" w:fill="auto"/>
            <w:tcMar>
              <w:top w:w="15" w:type="dxa"/>
              <w:left w:w="108" w:type="dxa"/>
              <w:bottom w:w="0" w:type="dxa"/>
              <w:right w:w="108" w:type="dxa"/>
            </w:tcMar>
            <w:vAlign w:val="center"/>
          </w:tcPr>
          <w:p>
            <w:pPr>
              <w:spacing w:before="50" w:after="50" w:line="440" w:lineRule="exact"/>
              <w:rPr>
                <w:rFonts w:ascii="宋体" w:hAnsi="宋体" w:cs="Arial"/>
                <w:color w:val="000000"/>
                <w:kern w:val="0"/>
                <w:szCs w:val="21"/>
              </w:rPr>
            </w:pPr>
          </w:p>
        </w:tc>
        <w:tc>
          <w:tcPr>
            <w:tcW w:w="3260" w:type="dxa"/>
            <w:gridSpan w:val="3"/>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b/>
                <w:color w:val="000000"/>
                <w:kern w:val="0"/>
                <w:szCs w:val="21"/>
              </w:rPr>
            </w:pPr>
            <w:r>
              <w:rPr>
                <w:rFonts w:ascii="宋体" w:hAnsi="宋体" w:cs="Arial"/>
                <w:b/>
                <w:color w:val="000000"/>
                <w:kern w:val="0"/>
                <w:szCs w:val="21"/>
              </w:rPr>
              <w:t>费用明细</w:t>
            </w:r>
          </w:p>
        </w:tc>
        <w:tc>
          <w:tcPr>
            <w:tcW w:w="1843" w:type="dxa"/>
            <w:gridSpan w:val="2"/>
            <w:shd w:val="clear" w:color="auto" w:fill="auto"/>
            <w:vAlign w:val="center"/>
          </w:tcPr>
          <w:p>
            <w:pPr>
              <w:widowControl/>
              <w:spacing w:before="50" w:after="50" w:line="440" w:lineRule="exact"/>
              <w:jc w:val="center"/>
              <w:rPr>
                <w:rFonts w:ascii="宋体" w:hAnsi="宋体" w:cs="Arial"/>
                <w:b/>
                <w:color w:val="000000"/>
                <w:kern w:val="0"/>
                <w:szCs w:val="21"/>
              </w:rPr>
            </w:pPr>
            <w:r>
              <w:rPr>
                <w:rFonts w:ascii="宋体" w:hAnsi="宋体" w:cs="Arial"/>
                <w:b/>
                <w:color w:val="000000"/>
                <w:kern w:val="0"/>
                <w:szCs w:val="21"/>
              </w:rPr>
              <w:t>分摊情况</w:t>
            </w:r>
          </w:p>
        </w:tc>
        <w:tc>
          <w:tcPr>
            <w:tcW w:w="992" w:type="dxa"/>
            <w:vMerge w:val="restart"/>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ascii="宋体" w:hAnsi="宋体" w:cs="Arial"/>
                <w:color w:val="000000"/>
                <w:kern w:val="0"/>
                <w:szCs w:val="21"/>
              </w:rPr>
              <w:t>未税合计单价</w:t>
            </w:r>
          </w:p>
          <w:p>
            <w:pPr>
              <w:widowControl/>
              <w:spacing w:before="50" w:after="50" w:line="440" w:lineRule="exact"/>
              <w:jc w:val="center"/>
              <w:rPr>
                <w:rFonts w:ascii="宋体" w:hAnsi="宋体" w:cs="Arial"/>
                <w:kern w:val="0"/>
                <w:szCs w:val="21"/>
              </w:rPr>
            </w:pPr>
            <w:r>
              <w:rPr>
                <w:rFonts w:ascii="宋体" w:hAnsi="宋体" w:cs="Arial"/>
                <w:color w:val="000000"/>
                <w:kern w:val="0"/>
                <w:szCs w:val="21"/>
              </w:rPr>
              <w:t>（元</w:t>
            </w:r>
            <w:r>
              <w:rPr>
                <w:rFonts w:hint="eastAsia" w:ascii="宋体" w:hAnsi="宋体" w:cs="Arial"/>
                <w:color w:val="000000"/>
                <w:kern w:val="0"/>
                <w:szCs w:val="21"/>
              </w:rPr>
              <w:t>，</w:t>
            </w:r>
            <w:r>
              <w:rPr>
                <w:rFonts w:ascii="宋体" w:hAnsi="宋体" w:cs="Arial"/>
                <w:color w:val="000000"/>
                <w:kern w:val="0"/>
                <w:szCs w:val="21"/>
              </w:rPr>
              <w:t>含分摊）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12" w:hRule="atLeast"/>
        </w:trPr>
        <w:tc>
          <w:tcPr>
            <w:tcW w:w="1498" w:type="dxa"/>
            <w:vMerge w:val="continue"/>
            <w:vAlign w:val="center"/>
          </w:tcPr>
          <w:p>
            <w:pPr>
              <w:widowControl/>
              <w:spacing w:before="50" w:after="50" w:line="440" w:lineRule="exact"/>
              <w:jc w:val="left"/>
              <w:rPr>
                <w:rFonts w:ascii="宋体" w:hAnsi="宋体" w:cs="Arial"/>
                <w:kern w:val="0"/>
                <w:szCs w:val="21"/>
              </w:rPr>
            </w:pPr>
          </w:p>
        </w:tc>
        <w:tc>
          <w:tcPr>
            <w:tcW w:w="425" w:type="dxa"/>
            <w:vMerge w:val="continue"/>
            <w:vAlign w:val="center"/>
          </w:tcPr>
          <w:p>
            <w:pPr>
              <w:widowControl/>
              <w:spacing w:before="50" w:after="50" w:line="440" w:lineRule="exact"/>
              <w:jc w:val="left"/>
              <w:rPr>
                <w:rFonts w:ascii="宋体" w:hAnsi="宋体" w:cs="Arial"/>
                <w:kern w:val="0"/>
                <w:szCs w:val="21"/>
              </w:rPr>
            </w:pPr>
          </w:p>
        </w:tc>
        <w:tc>
          <w:tcPr>
            <w:tcW w:w="1134" w:type="dxa"/>
            <w:vMerge w:val="continue"/>
            <w:vAlign w:val="center"/>
          </w:tcPr>
          <w:p>
            <w:pPr>
              <w:widowControl/>
              <w:spacing w:before="50" w:after="50" w:line="440" w:lineRule="exact"/>
              <w:jc w:val="left"/>
              <w:rPr>
                <w:rFonts w:ascii="宋体" w:hAnsi="宋体" w:cs="Arial"/>
                <w:kern w:val="0"/>
                <w:szCs w:val="21"/>
              </w:rPr>
            </w:pPr>
          </w:p>
        </w:tc>
        <w:tc>
          <w:tcPr>
            <w:tcW w:w="425" w:type="dxa"/>
            <w:vMerge w:val="continue"/>
            <w:vAlign w:val="center"/>
          </w:tcPr>
          <w:p>
            <w:pPr>
              <w:widowControl/>
              <w:spacing w:before="50" w:after="50" w:line="440" w:lineRule="exact"/>
              <w:jc w:val="left"/>
              <w:rPr>
                <w:rFonts w:ascii="宋体" w:hAnsi="宋体" w:cs="Arial"/>
                <w:kern w:val="0"/>
                <w:szCs w:val="21"/>
              </w:rPr>
            </w:pPr>
          </w:p>
        </w:tc>
        <w:tc>
          <w:tcPr>
            <w:tcW w:w="709" w:type="dxa"/>
            <w:vMerge w:val="continue"/>
            <w:vAlign w:val="center"/>
          </w:tcPr>
          <w:p>
            <w:pPr>
              <w:widowControl/>
              <w:spacing w:before="50" w:after="50" w:line="440" w:lineRule="exact"/>
              <w:jc w:val="left"/>
              <w:rPr>
                <w:rFonts w:ascii="宋体" w:hAnsi="宋体" w:cs="Arial"/>
                <w:kern w:val="0"/>
                <w:szCs w:val="21"/>
              </w:rPr>
            </w:pPr>
          </w:p>
        </w:tc>
        <w:tc>
          <w:tcPr>
            <w:tcW w:w="1276"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ascii="宋体" w:hAnsi="宋体" w:cs="Arial"/>
                <w:color w:val="000000"/>
                <w:kern w:val="0"/>
                <w:szCs w:val="21"/>
              </w:rPr>
              <w:t>设计验证费用(含发明人的奖励和报酬)（</w:t>
            </w:r>
            <w:r>
              <w:rPr>
                <w:rFonts w:hint="eastAsia" w:ascii="宋体" w:hAnsi="宋体" w:cs="Arial"/>
                <w:color w:val="000000"/>
                <w:kern w:val="0"/>
                <w:szCs w:val="21"/>
              </w:rPr>
              <w:t>含税，</w:t>
            </w:r>
            <w:r>
              <w:rPr>
                <w:rFonts w:ascii="宋体" w:hAnsi="宋体" w:cs="Arial"/>
                <w:color w:val="000000"/>
                <w:kern w:val="0"/>
                <w:szCs w:val="21"/>
              </w:rPr>
              <w:t>税率</w:t>
            </w:r>
            <w:r>
              <w:rPr>
                <w:rFonts w:hint="eastAsia" w:ascii="宋体" w:hAnsi="宋体" w:cs="Arial"/>
                <w:color w:val="000000"/>
                <w:kern w:val="0"/>
                <w:szCs w:val="21"/>
              </w:rPr>
              <w:t>6</w:t>
            </w:r>
            <w:r>
              <w:rPr>
                <w:rFonts w:ascii="宋体" w:hAnsi="宋体" w:cs="Arial"/>
                <w:color w:val="000000"/>
                <w:kern w:val="0"/>
                <w:szCs w:val="21"/>
              </w:rPr>
              <w:t>%）</w:t>
            </w:r>
          </w:p>
        </w:tc>
        <w:tc>
          <w:tcPr>
            <w:tcW w:w="1134"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ascii="宋体" w:hAnsi="宋体" w:cs="Arial"/>
                <w:color w:val="000000"/>
                <w:kern w:val="0"/>
                <w:szCs w:val="21"/>
              </w:rPr>
              <w:t>模</w:t>
            </w:r>
            <w:r>
              <w:rPr>
                <w:rFonts w:hint="eastAsia" w:ascii="宋体" w:hAnsi="宋体" w:cs="Arial"/>
                <w:color w:val="000000"/>
                <w:kern w:val="0"/>
                <w:szCs w:val="21"/>
              </w:rPr>
              <w:t>、</w:t>
            </w:r>
            <w:r>
              <w:rPr>
                <w:rFonts w:ascii="宋体" w:hAnsi="宋体" w:cs="Arial"/>
                <w:color w:val="000000"/>
                <w:kern w:val="0"/>
                <w:szCs w:val="21"/>
              </w:rPr>
              <w:t>检</w:t>
            </w:r>
            <w:r>
              <w:rPr>
                <w:rFonts w:hint="eastAsia" w:ascii="宋体" w:hAnsi="宋体" w:cs="Arial"/>
                <w:color w:val="000000"/>
                <w:kern w:val="0"/>
                <w:szCs w:val="21"/>
              </w:rPr>
              <w:t>、</w:t>
            </w:r>
            <w:r>
              <w:rPr>
                <w:rFonts w:ascii="宋体" w:hAnsi="宋体" w:cs="Arial"/>
                <w:color w:val="000000"/>
                <w:kern w:val="0"/>
                <w:szCs w:val="21"/>
              </w:rPr>
              <w:t>夹具费用（</w:t>
            </w:r>
            <w:r>
              <w:rPr>
                <w:rFonts w:hint="eastAsia" w:ascii="宋体" w:hAnsi="宋体" w:cs="Arial"/>
                <w:color w:val="000000"/>
                <w:kern w:val="0"/>
                <w:szCs w:val="21"/>
              </w:rPr>
              <w:t>含税</w:t>
            </w:r>
            <w:r>
              <w:rPr>
                <w:rFonts w:ascii="宋体" w:hAnsi="宋体" w:cs="Arial"/>
                <w:color w:val="000000"/>
                <w:kern w:val="0"/>
                <w:szCs w:val="21"/>
              </w:rPr>
              <w:t>，税率</w:t>
            </w:r>
            <w:r>
              <w:rPr>
                <w:rFonts w:hint="eastAsia" w:ascii="宋体" w:hAnsi="宋体" w:cs="Arial"/>
                <w:color w:val="000000"/>
                <w:kern w:val="0"/>
                <w:szCs w:val="21"/>
              </w:rPr>
              <w:t>1</w:t>
            </w:r>
            <w:r>
              <w:rPr>
                <w:rFonts w:ascii="宋体" w:hAnsi="宋体" w:cs="Arial"/>
                <w:color w:val="000000"/>
                <w:kern w:val="0"/>
                <w:szCs w:val="21"/>
              </w:rPr>
              <w:t>3%）</w:t>
            </w:r>
          </w:p>
        </w:tc>
        <w:tc>
          <w:tcPr>
            <w:tcW w:w="850"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color w:val="000000"/>
                <w:kern w:val="0"/>
                <w:szCs w:val="21"/>
              </w:rPr>
            </w:pPr>
            <w:r>
              <w:rPr>
                <w:rFonts w:ascii="宋体" w:hAnsi="宋体" w:cs="Arial"/>
                <w:color w:val="000000"/>
                <w:kern w:val="0"/>
                <w:szCs w:val="21"/>
              </w:rPr>
              <w:t>合计</w:t>
            </w:r>
          </w:p>
          <w:p>
            <w:pPr>
              <w:widowControl/>
              <w:spacing w:before="50" w:after="50" w:line="440" w:lineRule="exact"/>
              <w:rPr>
                <w:rFonts w:ascii="宋体" w:hAnsi="宋体" w:cs="Arial"/>
                <w:kern w:val="0"/>
                <w:szCs w:val="21"/>
              </w:rPr>
            </w:pPr>
            <w:r>
              <w:rPr>
                <w:rFonts w:ascii="宋体" w:hAnsi="宋体" w:cs="Arial"/>
                <w:color w:val="000000"/>
                <w:kern w:val="0"/>
                <w:szCs w:val="21"/>
              </w:rPr>
              <w:t>（</w:t>
            </w:r>
            <w:r>
              <w:rPr>
                <w:rFonts w:hint="eastAsia" w:ascii="宋体" w:hAnsi="宋体" w:cs="Arial"/>
                <w:color w:val="000000"/>
                <w:kern w:val="0"/>
                <w:szCs w:val="21"/>
              </w:rPr>
              <w:t>含税</w:t>
            </w:r>
            <w:r>
              <w:rPr>
                <w:rFonts w:ascii="宋体" w:hAnsi="宋体" w:cs="Arial"/>
                <w:color w:val="000000"/>
                <w:kern w:val="0"/>
                <w:szCs w:val="21"/>
              </w:rPr>
              <w:t>）</w:t>
            </w:r>
          </w:p>
        </w:tc>
        <w:tc>
          <w:tcPr>
            <w:tcW w:w="993"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ascii="宋体" w:hAnsi="宋体" w:cs="Arial"/>
                <w:color w:val="000000"/>
                <w:kern w:val="0"/>
                <w:szCs w:val="21"/>
              </w:rPr>
              <w:t>未税分摊金额单台/套（元）</w:t>
            </w:r>
          </w:p>
        </w:tc>
        <w:tc>
          <w:tcPr>
            <w:tcW w:w="850" w:type="dxa"/>
          </w:tcPr>
          <w:p>
            <w:pPr>
              <w:widowControl/>
              <w:spacing w:before="50" w:after="50" w:line="440" w:lineRule="exact"/>
              <w:jc w:val="left"/>
              <w:rPr>
                <w:rFonts w:ascii="宋体" w:hAnsi="宋体" w:cs="Arial"/>
                <w:kern w:val="0"/>
                <w:szCs w:val="21"/>
              </w:rPr>
            </w:pPr>
          </w:p>
          <w:p>
            <w:pPr>
              <w:widowControl/>
              <w:spacing w:before="50" w:after="50" w:line="440" w:lineRule="exact"/>
              <w:jc w:val="left"/>
              <w:rPr>
                <w:rFonts w:ascii="宋体" w:hAnsi="宋体" w:cs="Arial"/>
                <w:kern w:val="0"/>
                <w:szCs w:val="21"/>
              </w:rPr>
            </w:pPr>
            <w:r>
              <w:rPr>
                <w:rFonts w:hint="eastAsia" w:ascii="宋体" w:hAnsi="宋体" w:cs="Arial"/>
                <w:kern w:val="0"/>
                <w:szCs w:val="21"/>
              </w:rPr>
              <w:t>分摊</w:t>
            </w:r>
          </w:p>
          <w:p>
            <w:pPr>
              <w:widowControl/>
              <w:spacing w:before="50" w:after="50" w:line="440" w:lineRule="exact"/>
              <w:jc w:val="left"/>
              <w:rPr>
                <w:rFonts w:ascii="宋体" w:hAnsi="宋体" w:cs="Arial"/>
                <w:kern w:val="0"/>
                <w:szCs w:val="21"/>
              </w:rPr>
            </w:pPr>
            <w:r>
              <w:rPr>
                <w:rFonts w:hint="eastAsia" w:ascii="宋体" w:hAnsi="宋体" w:cs="Arial"/>
                <w:kern w:val="0"/>
                <w:szCs w:val="21"/>
              </w:rPr>
              <w:t>数量</w:t>
            </w:r>
          </w:p>
        </w:tc>
        <w:tc>
          <w:tcPr>
            <w:tcW w:w="992" w:type="dxa"/>
            <w:vMerge w:val="continue"/>
            <w:vAlign w:val="center"/>
          </w:tcPr>
          <w:p>
            <w:pPr>
              <w:widowControl/>
              <w:spacing w:before="50" w:after="50" w:line="440" w:lineRule="exact"/>
              <w:jc w:val="left"/>
              <w:rPr>
                <w:rFonts w:ascii="宋体" w:hAnsi="宋体" w:cs="Arial"/>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1498"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b/>
                <w:szCs w:val="21"/>
              </w:rPr>
            </w:pPr>
            <w:r>
              <w:rPr>
                <w:rFonts w:hint="eastAsia"/>
              </w:rPr>
              <w:t>驾驶员座椅总成（手动低配）</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ind w:firstLine="200"/>
              <w:jc w:val="center"/>
              <w:rPr>
                <w:rFonts w:ascii="宋体" w:hAnsi="宋体" w:cs="Arial"/>
                <w:b/>
                <w:szCs w:val="21"/>
              </w:rPr>
            </w:pPr>
            <w:r>
              <w:rPr>
                <w:rFonts w:hint="eastAsia" w:ascii="宋体" w:hAnsi="宋体" w:cs="Arial"/>
                <w:b/>
                <w:szCs w:val="21"/>
              </w:rPr>
              <w:t>/</w:t>
            </w:r>
          </w:p>
        </w:tc>
        <w:tc>
          <w:tcPr>
            <w:tcW w:w="1134" w:type="dxa"/>
            <w:shd w:val="clear" w:color="auto" w:fill="auto"/>
            <w:tcMar>
              <w:top w:w="15" w:type="dxa"/>
              <w:left w:w="108" w:type="dxa"/>
              <w:bottom w:w="0" w:type="dxa"/>
              <w:right w:w="108" w:type="dxa"/>
            </w:tcMar>
          </w:tcPr>
          <w:p>
            <w:pPr>
              <w:snapToGrid w:val="0"/>
              <w:spacing w:before="78" w:beforeLines="25" w:after="78" w:afterLines="25" w:line="440" w:lineRule="exact"/>
              <w:rPr>
                <w:rFonts w:ascii="宋体" w:hAnsi="宋体" w:cs="Arial"/>
                <w:szCs w:val="21"/>
              </w:rPr>
            </w:pPr>
            <w:r>
              <w:t>68EN2531-00010</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rPr>
                <w:rFonts w:ascii="宋体" w:hAnsi="宋体" w:cs="Arial"/>
                <w:szCs w:val="21"/>
              </w:rPr>
            </w:pPr>
            <w:r>
              <w:rPr>
                <w:rFonts w:hint="eastAsia" w:ascii="宋体" w:hAnsi="宋体" w:cs="Arial"/>
                <w:szCs w:val="21"/>
              </w:rPr>
              <w:t>个</w:t>
            </w:r>
          </w:p>
        </w:tc>
        <w:tc>
          <w:tcPr>
            <w:tcW w:w="709" w:type="dxa"/>
            <w:shd w:val="clear" w:color="auto" w:fill="auto"/>
            <w:tcMar>
              <w:top w:w="15" w:type="dxa"/>
              <w:left w:w="108" w:type="dxa"/>
              <w:bottom w:w="0" w:type="dxa"/>
              <w:right w:w="108" w:type="dxa"/>
            </w:tcMar>
          </w:tcPr>
          <w:p>
            <w:pPr>
              <w:snapToGrid w:val="0"/>
              <w:spacing w:before="78" w:beforeLines="25" w:after="78" w:afterLines="25" w:line="440" w:lineRule="exact"/>
              <w:rPr>
                <w:rFonts w:ascii="宋体" w:hAnsi="宋体" w:cs="Arial"/>
                <w:szCs w:val="21"/>
              </w:rPr>
            </w:pPr>
            <w:r>
              <w:t xml:space="preserve"> </w:t>
            </w:r>
            <w:r>
              <w:rPr>
                <w:rFonts w:hint="eastAsia"/>
              </w:rPr>
              <w:t>2260</w:t>
            </w:r>
            <w:r>
              <w:t xml:space="preserve">.00 </w:t>
            </w:r>
          </w:p>
        </w:tc>
        <w:tc>
          <w:tcPr>
            <w:tcW w:w="1276" w:type="dxa"/>
            <w:vMerge w:val="restart"/>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hint="eastAsia" w:ascii="宋体" w:hAnsi="宋体" w:cs="Arial"/>
                <w:kern w:val="0"/>
                <w:szCs w:val="21"/>
              </w:rPr>
              <w:t>8215000.00</w:t>
            </w:r>
          </w:p>
        </w:tc>
        <w:tc>
          <w:tcPr>
            <w:tcW w:w="1134" w:type="dxa"/>
            <w:vMerge w:val="restart"/>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bookmarkStart w:id="3" w:name="_Hlk118789250"/>
            <w:r>
              <w:rPr>
                <w:rFonts w:hint="eastAsia" w:ascii="宋体" w:hAnsi="宋体" w:cs="Arial"/>
                <w:kern w:val="0"/>
                <w:szCs w:val="21"/>
              </w:rPr>
              <w:t>6780000.00</w:t>
            </w:r>
            <w:bookmarkEnd w:id="3"/>
          </w:p>
        </w:tc>
        <w:tc>
          <w:tcPr>
            <w:tcW w:w="850" w:type="dxa"/>
            <w:vMerge w:val="restart"/>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hint="eastAsia" w:ascii="宋体" w:hAnsi="宋体" w:cs="Arial"/>
                <w:kern w:val="0"/>
                <w:szCs w:val="21"/>
              </w:rPr>
              <w:t>14995000.00</w:t>
            </w:r>
          </w:p>
        </w:tc>
        <w:tc>
          <w:tcPr>
            <w:tcW w:w="993"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rPr>
              <w:t>114.58</w:t>
            </w:r>
            <w:r>
              <w:t xml:space="preserve"> </w:t>
            </w:r>
          </w:p>
        </w:tc>
        <w:tc>
          <w:tcPr>
            <w:tcW w:w="850" w:type="dxa"/>
          </w:tcPr>
          <w:p>
            <w:pPr>
              <w:widowControl/>
              <w:spacing w:before="50" w:after="50" w:line="440" w:lineRule="exact"/>
              <w:jc w:val="center"/>
              <w:rPr>
                <w:rFonts w:ascii="宋体" w:hAnsi="宋体" w:cs="Arial"/>
                <w:kern w:val="0"/>
                <w:szCs w:val="21"/>
              </w:rPr>
            </w:pPr>
            <w:r>
              <w:rPr>
                <w:rFonts w:hint="eastAsia" w:ascii="宋体" w:hAnsi="宋体" w:cs="Arial"/>
                <w:kern w:val="0"/>
                <w:szCs w:val="21"/>
              </w:rPr>
              <w:t>30000</w:t>
            </w:r>
          </w:p>
        </w:tc>
        <w:tc>
          <w:tcPr>
            <w:tcW w:w="992"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t xml:space="preserve"> 2,374.58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1498"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b/>
                <w:szCs w:val="21"/>
              </w:rPr>
            </w:pPr>
            <w:r>
              <w:rPr>
                <w:rFonts w:hint="eastAsia"/>
              </w:rPr>
              <w:t>驾驶员座椅总成（手动高配）"</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ind w:firstLine="200"/>
              <w:jc w:val="center"/>
              <w:rPr>
                <w:rFonts w:ascii="宋体" w:hAnsi="宋体" w:cs="Arial"/>
                <w:b/>
                <w:szCs w:val="21"/>
              </w:rPr>
            </w:pPr>
            <w:r>
              <w:rPr>
                <w:rFonts w:hint="eastAsia" w:ascii="宋体" w:hAnsi="宋体" w:cs="Arial"/>
                <w:b/>
                <w:szCs w:val="21"/>
              </w:rPr>
              <w:t>/</w:t>
            </w:r>
          </w:p>
        </w:tc>
        <w:tc>
          <w:tcPr>
            <w:tcW w:w="1134" w:type="dxa"/>
            <w:shd w:val="clear" w:color="auto" w:fill="auto"/>
            <w:tcMar>
              <w:top w:w="15" w:type="dxa"/>
              <w:left w:w="108" w:type="dxa"/>
              <w:bottom w:w="0" w:type="dxa"/>
              <w:right w:w="108" w:type="dxa"/>
            </w:tcMar>
          </w:tcPr>
          <w:p>
            <w:pPr>
              <w:snapToGrid w:val="0"/>
              <w:spacing w:before="78" w:beforeLines="25" w:after="78" w:afterLines="25" w:line="440" w:lineRule="exact"/>
              <w:rPr>
                <w:rFonts w:ascii="宋体" w:hAnsi="宋体" w:cs="Arial"/>
                <w:szCs w:val="21"/>
              </w:rPr>
            </w:pPr>
            <w:r>
              <w:t>68EN2531-00020</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rPr>
                <w:rFonts w:ascii="宋体" w:hAnsi="宋体" w:cs="Arial"/>
                <w:szCs w:val="21"/>
              </w:rPr>
            </w:pPr>
            <w:r>
              <w:rPr>
                <w:rFonts w:hint="eastAsia" w:ascii="宋体" w:hAnsi="宋体" w:cs="Arial"/>
                <w:szCs w:val="21"/>
              </w:rPr>
              <w:t>个</w:t>
            </w:r>
          </w:p>
        </w:tc>
        <w:tc>
          <w:tcPr>
            <w:tcW w:w="709" w:type="dxa"/>
            <w:shd w:val="clear" w:color="auto" w:fill="auto"/>
            <w:tcMar>
              <w:top w:w="15" w:type="dxa"/>
              <w:left w:w="108" w:type="dxa"/>
              <w:bottom w:w="0" w:type="dxa"/>
              <w:right w:w="108" w:type="dxa"/>
            </w:tcMar>
            <w:vAlign w:val="center"/>
          </w:tcPr>
          <w:p>
            <w:pPr>
              <w:snapToGrid w:val="0"/>
              <w:spacing w:before="78" w:beforeLines="25" w:after="78" w:afterLines="25" w:line="440" w:lineRule="exact"/>
              <w:rPr>
                <w:rFonts w:ascii="宋体" w:hAnsi="宋体" w:cs="Arial"/>
                <w:szCs w:val="21"/>
              </w:rPr>
            </w:pPr>
            <w:r>
              <w:t xml:space="preserve"> </w:t>
            </w:r>
            <w:r>
              <w:rPr>
                <w:rFonts w:hint="eastAsia"/>
              </w:rPr>
              <w:t>3100</w:t>
            </w:r>
            <w:r>
              <w:t xml:space="preserve">.00 </w:t>
            </w:r>
          </w:p>
        </w:tc>
        <w:tc>
          <w:tcPr>
            <w:tcW w:w="1276"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1134"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850"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993"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rPr>
              <w:t>114.58</w:t>
            </w:r>
            <w:r>
              <w:t xml:space="preserve"> </w:t>
            </w:r>
          </w:p>
        </w:tc>
        <w:tc>
          <w:tcPr>
            <w:tcW w:w="850" w:type="dxa"/>
          </w:tcPr>
          <w:p>
            <w:pPr>
              <w:widowControl/>
              <w:spacing w:before="50" w:after="50" w:line="440" w:lineRule="exact"/>
              <w:jc w:val="center"/>
              <w:rPr>
                <w:rFonts w:ascii="宋体" w:hAnsi="宋体" w:cs="Arial"/>
                <w:kern w:val="0"/>
                <w:szCs w:val="21"/>
              </w:rPr>
            </w:pPr>
            <w:r>
              <w:rPr>
                <w:rFonts w:hint="eastAsia" w:ascii="宋体" w:hAnsi="宋体" w:cs="Arial"/>
                <w:kern w:val="0"/>
                <w:szCs w:val="21"/>
              </w:rPr>
              <w:t>30000</w:t>
            </w:r>
          </w:p>
        </w:tc>
        <w:tc>
          <w:tcPr>
            <w:tcW w:w="992"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t xml:space="preserve"> 3,214.58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1498" w:type="dxa"/>
            <w:shd w:val="clear" w:color="auto" w:fill="auto"/>
            <w:tcMar>
              <w:top w:w="15" w:type="dxa"/>
              <w:left w:w="108" w:type="dxa"/>
              <w:bottom w:w="0" w:type="dxa"/>
              <w:right w:w="108" w:type="dxa"/>
            </w:tcMar>
          </w:tcPr>
          <w:p>
            <w:pPr>
              <w:widowControl/>
              <w:spacing w:before="50" w:after="50" w:line="440" w:lineRule="exact"/>
              <w:jc w:val="center"/>
            </w:pPr>
            <w:r>
              <w:rPr>
                <w:rFonts w:hint="eastAsia"/>
              </w:rPr>
              <w:t>驾驶员座椅总成（电动）</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ind w:firstLine="200"/>
              <w:jc w:val="center"/>
              <w:rPr>
                <w:rFonts w:ascii="宋体" w:hAnsi="宋体" w:cs="Arial"/>
                <w:b/>
                <w:szCs w:val="21"/>
              </w:rPr>
            </w:pPr>
            <w:r>
              <w:rPr>
                <w:rFonts w:hint="eastAsia" w:ascii="宋体" w:hAnsi="宋体" w:cs="Arial"/>
                <w:b/>
                <w:szCs w:val="21"/>
              </w:rPr>
              <w:t>/</w:t>
            </w:r>
          </w:p>
        </w:tc>
        <w:tc>
          <w:tcPr>
            <w:tcW w:w="1134" w:type="dxa"/>
            <w:shd w:val="clear" w:color="auto" w:fill="auto"/>
            <w:tcMar>
              <w:top w:w="15" w:type="dxa"/>
              <w:left w:w="108" w:type="dxa"/>
              <w:bottom w:w="0" w:type="dxa"/>
              <w:right w:w="108" w:type="dxa"/>
            </w:tcMar>
          </w:tcPr>
          <w:p>
            <w:pPr>
              <w:snapToGrid w:val="0"/>
              <w:spacing w:before="78" w:beforeLines="25" w:after="78" w:afterLines="25" w:line="440" w:lineRule="exact"/>
            </w:pPr>
            <w:r>
              <w:t>68EN2531-00030</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rPr>
                <w:rFonts w:ascii="宋体" w:hAnsi="宋体" w:cs="Arial"/>
                <w:szCs w:val="21"/>
              </w:rPr>
            </w:pPr>
            <w:r>
              <w:rPr>
                <w:rFonts w:hint="eastAsia" w:ascii="宋体" w:hAnsi="宋体" w:cs="Arial"/>
                <w:szCs w:val="21"/>
              </w:rPr>
              <w:t>个</w:t>
            </w:r>
          </w:p>
        </w:tc>
        <w:tc>
          <w:tcPr>
            <w:tcW w:w="709" w:type="dxa"/>
            <w:shd w:val="clear" w:color="auto" w:fill="auto"/>
            <w:tcMar>
              <w:top w:w="15" w:type="dxa"/>
              <w:left w:w="108" w:type="dxa"/>
              <w:bottom w:w="0" w:type="dxa"/>
              <w:right w:w="108" w:type="dxa"/>
            </w:tcMar>
            <w:vAlign w:val="center"/>
          </w:tcPr>
          <w:p>
            <w:pPr>
              <w:snapToGrid w:val="0"/>
              <w:spacing w:before="78" w:beforeLines="25" w:after="78" w:afterLines="25" w:line="440" w:lineRule="exact"/>
            </w:pPr>
            <w:r>
              <w:rPr>
                <w:rFonts w:hint="eastAsia"/>
              </w:rPr>
              <w:t>4600.00</w:t>
            </w:r>
          </w:p>
        </w:tc>
        <w:tc>
          <w:tcPr>
            <w:tcW w:w="1276"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1134"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850"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993" w:type="dxa"/>
            <w:shd w:val="clear" w:color="auto" w:fill="auto"/>
            <w:tcMar>
              <w:top w:w="15" w:type="dxa"/>
              <w:left w:w="108" w:type="dxa"/>
              <w:bottom w:w="0" w:type="dxa"/>
              <w:right w:w="108" w:type="dxa"/>
            </w:tcMar>
          </w:tcPr>
          <w:p>
            <w:pPr>
              <w:widowControl/>
              <w:spacing w:before="50" w:after="50" w:line="440" w:lineRule="exact"/>
              <w:jc w:val="center"/>
            </w:pPr>
            <w:r>
              <w:rPr>
                <w:rFonts w:hint="eastAsia"/>
              </w:rPr>
              <w:t>114.58</w:t>
            </w:r>
            <w:r>
              <w:t xml:space="preserve"> </w:t>
            </w:r>
          </w:p>
        </w:tc>
        <w:tc>
          <w:tcPr>
            <w:tcW w:w="850" w:type="dxa"/>
          </w:tcPr>
          <w:p>
            <w:pPr>
              <w:widowControl/>
              <w:spacing w:before="50" w:after="50" w:line="440" w:lineRule="exact"/>
              <w:jc w:val="center"/>
              <w:rPr>
                <w:rFonts w:ascii="宋体" w:hAnsi="宋体" w:cs="Arial"/>
                <w:kern w:val="0"/>
                <w:szCs w:val="21"/>
              </w:rPr>
            </w:pPr>
            <w:r>
              <w:rPr>
                <w:rFonts w:hint="eastAsia" w:ascii="宋体" w:hAnsi="宋体" w:cs="Arial"/>
                <w:kern w:val="0"/>
                <w:szCs w:val="21"/>
              </w:rPr>
              <w:t>30000</w:t>
            </w:r>
          </w:p>
        </w:tc>
        <w:tc>
          <w:tcPr>
            <w:tcW w:w="992" w:type="dxa"/>
            <w:shd w:val="clear" w:color="auto" w:fill="auto"/>
            <w:tcMar>
              <w:top w:w="15" w:type="dxa"/>
              <w:left w:w="108" w:type="dxa"/>
              <w:bottom w:w="0" w:type="dxa"/>
              <w:right w:w="108" w:type="dxa"/>
            </w:tcMar>
          </w:tcPr>
          <w:p>
            <w:pPr>
              <w:widowControl/>
              <w:spacing w:before="50" w:after="50" w:line="440" w:lineRule="exact"/>
              <w:jc w:val="center"/>
            </w:pPr>
            <w:r>
              <w:t xml:space="preserve"> 4,714.58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1498" w:type="dxa"/>
            <w:shd w:val="clear" w:color="auto" w:fill="auto"/>
            <w:tcMar>
              <w:top w:w="15" w:type="dxa"/>
              <w:left w:w="108" w:type="dxa"/>
              <w:bottom w:w="0" w:type="dxa"/>
              <w:right w:w="108" w:type="dxa"/>
            </w:tcMar>
          </w:tcPr>
          <w:p>
            <w:pPr>
              <w:widowControl/>
              <w:spacing w:before="50" w:after="50" w:line="440" w:lineRule="exact"/>
              <w:jc w:val="center"/>
            </w:pPr>
            <w:r>
              <w:rPr>
                <w:rFonts w:hint="eastAsia"/>
              </w:rPr>
              <w:t>乘客单人座椅总成（手动低配）</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ind w:firstLine="200"/>
              <w:jc w:val="center"/>
              <w:rPr>
                <w:rFonts w:ascii="宋体" w:hAnsi="宋体" w:cs="Arial"/>
                <w:b/>
                <w:szCs w:val="21"/>
              </w:rPr>
            </w:pPr>
            <w:r>
              <w:rPr>
                <w:rFonts w:hint="eastAsia" w:ascii="宋体" w:hAnsi="宋体" w:cs="Arial"/>
                <w:b/>
                <w:szCs w:val="21"/>
              </w:rPr>
              <w:t>/</w:t>
            </w:r>
          </w:p>
        </w:tc>
        <w:tc>
          <w:tcPr>
            <w:tcW w:w="1134" w:type="dxa"/>
            <w:shd w:val="clear" w:color="auto" w:fill="auto"/>
            <w:tcMar>
              <w:top w:w="15" w:type="dxa"/>
              <w:left w:w="108" w:type="dxa"/>
              <w:bottom w:w="0" w:type="dxa"/>
              <w:right w:w="108" w:type="dxa"/>
            </w:tcMar>
          </w:tcPr>
          <w:p>
            <w:pPr>
              <w:snapToGrid w:val="0"/>
              <w:spacing w:before="78" w:beforeLines="25" w:after="78" w:afterLines="25" w:line="440" w:lineRule="exact"/>
            </w:pPr>
            <w:r>
              <w:t>71EN2531-00010</w:t>
            </w:r>
          </w:p>
        </w:tc>
        <w:tc>
          <w:tcPr>
            <w:tcW w:w="425" w:type="dxa"/>
            <w:shd w:val="clear" w:color="auto" w:fill="auto"/>
            <w:tcMar>
              <w:top w:w="15" w:type="dxa"/>
              <w:left w:w="108" w:type="dxa"/>
              <w:bottom w:w="0" w:type="dxa"/>
              <w:right w:w="108" w:type="dxa"/>
            </w:tcMar>
            <w:vAlign w:val="center"/>
          </w:tcPr>
          <w:p>
            <w:pPr>
              <w:snapToGrid w:val="0"/>
              <w:spacing w:before="78" w:beforeLines="25" w:after="78" w:afterLines="25" w:line="440" w:lineRule="exact"/>
              <w:rPr>
                <w:rFonts w:ascii="宋体" w:hAnsi="宋体" w:cs="Arial"/>
                <w:szCs w:val="21"/>
              </w:rPr>
            </w:pPr>
            <w:r>
              <w:rPr>
                <w:rFonts w:hint="eastAsia" w:ascii="宋体" w:hAnsi="宋体" w:cs="Arial"/>
                <w:szCs w:val="21"/>
              </w:rPr>
              <w:t>个</w:t>
            </w:r>
          </w:p>
        </w:tc>
        <w:tc>
          <w:tcPr>
            <w:tcW w:w="709" w:type="dxa"/>
            <w:shd w:val="clear" w:color="auto" w:fill="auto"/>
            <w:tcMar>
              <w:top w:w="15" w:type="dxa"/>
              <w:left w:w="108" w:type="dxa"/>
              <w:bottom w:w="0" w:type="dxa"/>
              <w:right w:w="108" w:type="dxa"/>
            </w:tcMar>
            <w:vAlign w:val="center"/>
          </w:tcPr>
          <w:p>
            <w:pPr>
              <w:snapToGrid w:val="0"/>
              <w:spacing w:before="78" w:beforeLines="25" w:after="78" w:afterLines="25" w:line="440" w:lineRule="exact"/>
            </w:pPr>
            <w:r>
              <w:rPr>
                <w:rFonts w:hint="eastAsia"/>
              </w:rPr>
              <w:t>1050.00</w:t>
            </w:r>
          </w:p>
        </w:tc>
        <w:tc>
          <w:tcPr>
            <w:tcW w:w="1276"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1134"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850"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993" w:type="dxa"/>
            <w:shd w:val="clear" w:color="auto" w:fill="auto"/>
            <w:tcMar>
              <w:top w:w="15" w:type="dxa"/>
              <w:left w:w="108" w:type="dxa"/>
              <w:bottom w:w="0" w:type="dxa"/>
              <w:right w:w="108" w:type="dxa"/>
            </w:tcMar>
          </w:tcPr>
          <w:p>
            <w:pPr>
              <w:widowControl/>
              <w:spacing w:before="50" w:after="50" w:line="440" w:lineRule="exact"/>
              <w:jc w:val="center"/>
            </w:pPr>
            <w:r>
              <w:rPr>
                <w:rFonts w:hint="eastAsia"/>
              </w:rPr>
              <w:t>114.58</w:t>
            </w:r>
            <w:r>
              <w:t xml:space="preserve"> </w:t>
            </w:r>
          </w:p>
        </w:tc>
        <w:tc>
          <w:tcPr>
            <w:tcW w:w="850" w:type="dxa"/>
          </w:tcPr>
          <w:p>
            <w:pPr>
              <w:widowControl/>
              <w:spacing w:before="50" w:after="50" w:line="440" w:lineRule="exact"/>
              <w:jc w:val="center"/>
              <w:rPr>
                <w:rFonts w:ascii="宋体" w:hAnsi="宋体" w:cs="Arial"/>
                <w:kern w:val="0"/>
                <w:szCs w:val="21"/>
              </w:rPr>
            </w:pPr>
            <w:r>
              <w:rPr>
                <w:rFonts w:hint="eastAsia" w:ascii="宋体" w:hAnsi="宋体" w:cs="Arial"/>
                <w:kern w:val="0"/>
                <w:szCs w:val="21"/>
              </w:rPr>
              <w:t>30000</w:t>
            </w:r>
          </w:p>
        </w:tc>
        <w:tc>
          <w:tcPr>
            <w:tcW w:w="992" w:type="dxa"/>
            <w:shd w:val="clear" w:color="auto" w:fill="auto"/>
            <w:tcMar>
              <w:top w:w="15" w:type="dxa"/>
              <w:left w:w="108" w:type="dxa"/>
              <w:bottom w:w="0" w:type="dxa"/>
              <w:right w:w="108" w:type="dxa"/>
            </w:tcMar>
          </w:tcPr>
          <w:p>
            <w:pPr>
              <w:widowControl/>
              <w:spacing w:before="50" w:after="50" w:line="440" w:lineRule="exact"/>
              <w:jc w:val="center"/>
            </w:pPr>
            <w:r>
              <w:t xml:space="preserve"> 1,164.58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1498" w:type="dxa"/>
            <w:shd w:val="clear" w:color="auto" w:fill="auto"/>
            <w:tcMar>
              <w:top w:w="15" w:type="dxa"/>
              <w:left w:w="108" w:type="dxa"/>
              <w:bottom w:w="0" w:type="dxa"/>
              <w:right w:w="108" w:type="dxa"/>
            </w:tcMar>
          </w:tcPr>
          <w:p>
            <w:pPr>
              <w:spacing w:before="50" w:after="50" w:line="440" w:lineRule="exact"/>
              <w:jc w:val="center"/>
              <w:rPr>
                <w:rFonts w:ascii="宋体" w:hAnsi="宋体" w:cs="宋体"/>
                <w:szCs w:val="21"/>
              </w:rPr>
            </w:pPr>
            <w:r>
              <w:rPr>
                <w:rFonts w:hint="eastAsia"/>
              </w:rPr>
              <w:t>乘客单人座椅总成（手动高配）</w:t>
            </w:r>
          </w:p>
        </w:tc>
        <w:tc>
          <w:tcPr>
            <w:tcW w:w="425" w:type="dxa"/>
            <w:shd w:val="clear" w:color="auto" w:fill="auto"/>
            <w:tcMar>
              <w:top w:w="15" w:type="dxa"/>
              <w:left w:w="108" w:type="dxa"/>
              <w:bottom w:w="0" w:type="dxa"/>
              <w:right w:w="108" w:type="dxa"/>
            </w:tcMar>
            <w:vAlign w:val="center"/>
          </w:tcPr>
          <w:p>
            <w:pPr>
              <w:spacing w:before="50" w:after="50" w:line="440" w:lineRule="exact"/>
              <w:jc w:val="center"/>
              <w:rPr>
                <w:rFonts w:ascii="宋体" w:hAnsi="宋体" w:cs="宋体"/>
                <w:szCs w:val="21"/>
              </w:rPr>
            </w:pPr>
            <w:r>
              <w:rPr>
                <w:rFonts w:hint="eastAsia" w:ascii="宋体" w:hAnsi="宋体" w:cs="宋体"/>
                <w:szCs w:val="21"/>
              </w:rPr>
              <w:t>/</w:t>
            </w:r>
          </w:p>
        </w:tc>
        <w:tc>
          <w:tcPr>
            <w:tcW w:w="1134" w:type="dxa"/>
            <w:shd w:val="clear" w:color="auto" w:fill="auto"/>
            <w:tcMar>
              <w:top w:w="15" w:type="dxa"/>
              <w:left w:w="108" w:type="dxa"/>
              <w:bottom w:w="0" w:type="dxa"/>
              <w:right w:w="108" w:type="dxa"/>
            </w:tcMar>
          </w:tcPr>
          <w:p>
            <w:pPr>
              <w:snapToGrid w:val="0"/>
              <w:spacing w:before="78" w:beforeLines="25" w:after="78" w:afterLines="25" w:line="440" w:lineRule="exact"/>
              <w:rPr>
                <w:rFonts w:ascii="宋体" w:hAnsi="宋体" w:cs="Arial"/>
                <w:szCs w:val="21"/>
              </w:rPr>
            </w:pPr>
            <w:r>
              <w:t>71EN2531-00020</w:t>
            </w:r>
          </w:p>
        </w:tc>
        <w:tc>
          <w:tcPr>
            <w:tcW w:w="425" w:type="dxa"/>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hint="eastAsia" w:ascii="宋体" w:hAnsi="宋体" w:cs="Arial"/>
                <w:kern w:val="0"/>
                <w:szCs w:val="21"/>
              </w:rPr>
              <w:t>个</w:t>
            </w:r>
          </w:p>
        </w:tc>
        <w:tc>
          <w:tcPr>
            <w:tcW w:w="709" w:type="dxa"/>
            <w:shd w:val="clear" w:color="auto" w:fill="auto"/>
            <w:tcMar>
              <w:top w:w="15" w:type="dxa"/>
              <w:left w:w="108" w:type="dxa"/>
              <w:bottom w:w="0" w:type="dxa"/>
              <w:right w:w="108" w:type="dxa"/>
            </w:tcMar>
          </w:tcPr>
          <w:p>
            <w:pPr>
              <w:widowControl/>
              <w:spacing w:before="50" w:after="50" w:line="440" w:lineRule="exact"/>
              <w:rPr>
                <w:rFonts w:ascii="宋体" w:hAnsi="宋体" w:cs="Arial"/>
                <w:szCs w:val="21"/>
              </w:rPr>
            </w:pPr>
            <w:r>
              <w:t xml:space="preserve"> </w:t>
            </w:r>
            <w:r>
              <w:rPr>
                <w:rFonts w:hint="eastAsia"/>
              </w:rPr>
              <w:t>3100.00</w:t>
            </w:r>
            <w:r>
              <w:t xml:space="preserve"> </w:t>
            </w:r>
          </w:p>
        </w:tc>
        <w:tc>
          <w:tcPr>
            <w:tcW w:w="1276"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1134"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850" w:type="dxa"/>
            <w:vMerge w:val="continue"/>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p>
        </w:tc>
        <w:tc>
          <w:tcPr>
            <w:tcW w:w="993"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rPr>
              <w:t>114.58</w:t>
            </w:r>
            <w:r>
              <w:t xml:space="preserve"> </w:t>
            </w:r>
          </w:p>
        </w:tc>
        <w:tc>
          <w:tcPr>
            <w:tcW w:w="850" w:type="dxa"/>
          </w:tcPr>
          <w:p>
            <w:pPr>
              <w:widowControl/>
              <w:spacing w:before="50" w:after="50" w:line="440" w:lineRule="exact"/>
              <w:jc w:val="center"/>
              <w:rPr>
                <w:rFonts w:ascii="宋体" w:hAnsi="宋体" w:cs="Arial"/>
                <w:kern w:val="0"/>
                <w:szCs w:val="21"/>
              </w:rPr>
            </w:pPr>
            <w:r>
              <w:rPr>
                <w:rFonts w:hint="eastAsia" w:ascii="宋体" w:hAnsi="宋体" w:cs="Arial"/>
                <w:kern w:val="0"/>
                <w:szCs w:val="21"/>
              </w:rPr>
              <w:t>30000</w:t>
            </w:r>
          </w:p>
        </w:tc>
        <w:tc>
          <w:tcPr>
            <w:tcW w:w="992"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t xml:space="preserve"> 3,214.58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4191" w:type="dxa"/>
            <w:gridSpan w:val="5"/>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szCs w:val="21"/>
              </w:rPr>
            </w:pPr>
            <w:r>
              <w:rPr>
                <w:rFonts w:hint="eastAsia" w:ascii="宋体" w:hAnsi="宋体" w:cs="宋体"/>
                <w:szCs w:val="21"/>
              </w:rPr>
              <w:t>费用</w:t>
            </w:r>
            <w:r>
              <w:rPr>
                <w:rFonts w:hint="eastAsia" w:ascii="宋体" w:hAnsi="宋体" w:cs="Arial"/>
                <w:szCs w:val="21"/>
              </w:rPr>
              <w:t>总计</w:t>
            </w:r>
          </w:p>
        </w:tc>
        <w:tc>
          <w:tcPr>
            <w:tcW w:w="1276"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ascii="宋体" w:hAnsi="宋体" w:cs="Arial"/>
                <w:kern w:val="0"/>
                <w:szCs w:val="21"/>
              </w:rPr>
              <w:t>8215000.00</w:t>
            </w:r>
          </w:p>
        </w:tc>
        <w:tc>
          <w:tcPr>
            <w:tcW w:w="1134"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ascii="宋体" w:hAnsi="宋体" w:cs="Arial"/>
                <w:kern w:val="0"/>
                <w:szCs w:val="21"/>
              </w:rPr>
              <w:t>6780000.00</w:t>
            </w:r>
          </w:p>
        </w:tc>
        <w:tc>
          <w:tcPr>
            <w:tcW w:w="850" w:type="dxa"/>
            <w:shd w:val="clear" w:color="auto" w:fill="auto"/>
            <w:tcMar>
              <w:top w:w="15" w:type="dxa"/>
              <w:left w:w="108" w:type="dxa"/>
              <w:bottom w:w="0" w:type="dxa"/>
              <w:right w:w="108" w:type="dxa"/>
            </w:tcMar>
          </w:tcPr>
          <w:p>
            <w:pPr>
              <w:widowControl/>
              <w:spacing w:before="50" w:after="50" w:line="440" w:lineRule="exact"/>
              <w:jc w:val="center"/>
              <w:rPr>
                <w:rFonts w:ascii="宋体" w:hAnsi="宋体" w:cs="Arial"/>
                <w:kern w:val="0"/>
                <w:szCs w:val="21"/>
              </w:rPr>
            </w:pPr>
            <w:r>
              <w:rPr>
                <w:rFonts w:hint="eastAsia" w:ascii="宋体" w:hAnsi="宋体" w:cs="Arial"/>
                <w:kern w:val="0"/>
                <w:szCs w:val="21"/>
              </w:rPr>
              <w:t>14995000.00</w:t>
            </w:r>
          </w:p>
        </w:tc>
        <w:tc>
          <w:tcPr>
            <w:tcW w:w="2835" w:type="dxa"/>
            <w:gridSpan w:val="3"/>
            <w:shd w:val="clear" w:color="auto" w:fill="auto"/>
            <w:tcMar>
              <w:top w:w="15" w:type="dxa"/>
              <w:left w:w="108" w:type="dxa"/>
              <w:bottom w:w="0" w:type="dxa"/>
              <w:right w:w="108" w:type="dxa"/>
            </w:tcMar>
            <w:vAlign w:val="center"/>
          </w:tcPr>
          <w:p>
            <w:pPr>
              <w:widowControl/>
              <w:spacing w:before="50" w:after="50" w:line="440" w:lineRule="exact"/>
              <w:jc w:val="center"/>
              <w:rPr>
                <w:rFonts w:ascii="宋体" w:hAnsi="宋体" w:cs="Arial"/>
                <w:kern w:val="0"/>
                <w:szCs w:val="21"/>
              </w:rPr>
            </w:pPr>
            <w:r>
              <w:rPr>
                <w:rFonts w:hint="eastAsia" w:ascii="宋体" w:hAnsi="宋体" w:cs="Arial"/>
                <w:kern w:val="0"/>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0286" w:type="dxa"/>
            <w:gridSpan w:val="11"/>
          </w:tcPr>
          <w:p>
            <w:pPr>
              <w:widowControl/>
              <w:spacing w:before="50" w:after="50" w:line="440" w:lineRule="exact"/>
              <w:jc w:val="left"/>
              <w:rPr>
                <w:rFonts w:ascii="宋体" w:hAnsi="宋体" w:cs="Arial"/>
                <w:kern w:val="0"/>
                <w:szCs w:val="21"/>
              </w:rPr>
            </w:pPr>
            <w:r>
              <w:rPr>
                <w:rFonts w:hint="eastAsia" w:ascii="宋体" w:hAnsi="宋体" w:cs="Arial"/>
                <w:kern w:val="0"/>
                <w:szCs w:val="21"/>
              </w:rPr>
              <w:t>分摊台套：开发费用合计含税14995000， 50%支付，按照开模指令下发支付50%，OTS认可支付30%，PPAP认可支付20%三个阶段支付。剩余50%按照30000台全配置分摊。</w:t>
            </w:r>
          </w:p>
        </w:tc>
      </w:tr>
    </w:tbl>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二条</w:t>
      </w:r>
      <w:r>
        <w:rPr>
          <w:rFonts w:hint="eastAsia" w:ascii="宋体" w:hAnsi="宋体"/>
          <w:b/>
          <w:bCs/>
          <w:color w:val="000000"/>
          <w:sz w:val="24"/>
          <w:szCs w:val="24"/>
        </w:rPr>
        <w:t xml:space="preserve">  产品开发进度 </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2.1本合同项下开发过程中每一节点的相关规定按【浙江远程商用车研发有限公司】与【北京光华荣昌汽车部件有限公司】签订的编号为【</w:t>
      </w:r>
      <w:r>
        <w:rPr>
          <w:rFonts w:ascii="宋体" w:hAnsi="宋体" w:cs="Arial"/>
          <w:color w:val="000000"/>
          <w:sz w:val="24"/>
          <w:szCs w:val="24"/>
        </w:rPr>
        <w:t>Q/JLS J6117154-2022</w:t>
      </w:r>
      <w:r>
        <w:rPr>
          <w:rFonts w:hint="eastAsia" w:ascii="宋体" w:hAnsi="宋体" w:cs="Arial"/>
          <w:color w:val="000000"/>
          <w:sz w:val="24"/>
          <w:szCs w:val="24"/>
        </w:rPr>
        <w:t>】的《产品开发技术协议》及编号为【Q/JLS J6117154-2022①】的《产品开发技术协议补充协议书》(详见附件)执行。</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2.2 在上述每一节点的截止日期之后的三天内，乙方应根据甲方要求向甲方提供已按节点完成相应开发工作的相关文件资料。甲方认为有必要的话，可进行实地检验。</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第三条  技术资料及实物样件的交接</w:t>
      </w:r>
    </w:p>
    <w:p>
      <w:pPr>
        <w:spacing w:before="156" w:beforeLines="50" w:after="156" w:afterLines="50" w:line="440" w:lineRule="exact"/>
        <w:rPr>
          <w:rFonts w:ascii="宋体" w:hAnsi="宋体" w:cs="Arial"/>
          <w:color w:val="000000"/>
          <w:sz w:val="24"/>
          <w:szCs w:val="24"/>
        </w:rPr>
      </w:pPr>
      <w:r>
        <w:rPr>
          <w:rFonts w:hint="eastAsia" w:ascii="宋体" w:hAnsi="宋体" w:cs="Arial"/>
          <w:color w:val="000000"/>
          <w:sz w:val="24"/>
          <w:szCs w:val="24"/>
        </w:rPr>
        <w:t xml:space="preserve">    3.1双方应按照已签署的《产品开发技术协议》约定提供相关图纸、技术参数资料。</w:t>
      </w:r>
    </w:p>
    <w:p>
      <w:pPr>
        <w:spacing w:before="156" w:beforeLines="50" w:after="156" w:afterLines="50" w:line="440" w:lineRule="exact"/>
        <w:rPr>
          <w:rFonts w:ascii="宋体" w:hAnsi="宋体" w:cs="Arial"/>
          <w:color w:val="000000"/>
          <w:sz w:val="24"/>
          <w:szCs w:val="24"/>
        </w:rPr>
      </w:pPr>
      <w:r>
        <w:rPr>
          <w:rFonts w:hint="eastAsia" w:ascii="宋体" w:hAnsi="宋体" w:cs="Arial"/>
          <w:color w:val="000000"/>
          <w:sz w:val="24"/>
          <w:szCs w:val="24"/>
        </w:rPr>
        <w:t xml:space="preserve">    3.2 乙方收到甲方提供的技术资料及实物样件后，如果发现有缺损或者不清晰等情形的，应当</w:t>
      </w:r>
      <w:bookmarkStart w:id="4" w:name="_Hlk52809211"/>
      <w:r>
        <w:rPr>
          <w:rFonts w:hint="eastAsia" w:ascii="宋体" w:hAnsi="宋体" w:cs="Arial"/>
          <w:color w:val="000000"/>
          <w:sz w:val="24"/>
          <w:szCs w:val="24"/>
        </w:rPr>
        <w:t>在收到之日起两个工作日内</w:t>
      </w:r>
      <w:bookmarkEnd w:id="4"/>
      <w:r>
        <w:rPr>
          <w:rFonts w:hint="eastAsia" w:ascii="宋体" w:hAnsi="宋体" w:cs="Arial"/>
          <w:color w:val="000000"/>
          <w:sz w:val="24"/>
          <w:szCs w:val="24"/>
        </w:rPr>
        <w:t>以书面形式通知甲方补齐或者更换；如果发现资料及样件有技术上的错误，应当</w:t>
      </w:r>
      <w:bookmarkStart w:id="5" w:name="_Hlk52809255"/>
      <w:r>
        <w:rPr>
          <w:rFonts w:hint="eastAsia" w:ascii="宋体" w:hAnsi="宋体" w:cs="Arial"/>
          <w:color w:val="000000"/>
          <w:sz w:val="24"/>
          <w:szCs w:val="24"/>
        </w:rPr>
        <w:t>在收到之日起五个工作日内</w:t>
      </w:r>
      <w:bookmarkEnd w:id="5"/>
      <w:r>
        <w:rPr>
          <w:rFonts w:hint="eastAsia" w:ascii="宋体" w:hAnsi="宋体" w:cs="Arial"/>
          <w:color w:val="000000"/>
          <w:sz w:val="24"/>
          <w:szCs w:val="24"/>
        </w:rPr>
        <w:t>以书面形式提请甲方予以纠正。</w:t>
      </w:r>
      <w:bookmarkStart w:id="6" w:name="_Hlk52809264"/>
      <w:r>
        <w:rPr>
          <w:rFonts w:hint="eastAsia" w:ascii="宋体" w:hAnsi="宋体" w:cs="Arial"/>
          <w:color w:val="000000"/>
          <w:sz w:val="24"/>
          <w:szCs w:val="24"/>
        </w:rPr>
        <w:t>超出上述日期的，应视为甲方提供的技术资料及实物样件符合要求。</w:t>
      </w:r>
    </w:p>
    <w:bookmarkEnd w:id="6"/>
    <w:p>
      <w:pPr>
        <w:spacing w:before="156" w:beforeLines="50" w:after="156" w:afterLines="50" w:line="440" w:lineRule="exact"/>
        <w:rPr>
          <w:rFonts w:ascii="宋体" w:hAnsi="宋体" w:cs="Arial"/>
          <w:color w:val="000000"/>
          <w:sz w:val="24"/>
          <w:szCs w:val="24"/>
        </w:rPr>
      </w:pPr>
      <w:r>
        <w:rPr>
          <w:rFonts w:hint="eastAsia" w:ascii="宋体" w:hAnsi="宋体" w:cs="Arial"/>
          <w:color w:val="000000"/>
          <w:sz w:val="24"/>
          <w:szCs w:val="24"/>
        </w:rPr>
        <w:t xml:space="preserve">   3.3 产品开发过程中，甲方可随时调整、补充技术资料，或者提出技术开发要求，并以书面形式通知乙方，乙方按照甲方通知予以执行。</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第四条  产品样品的检测鉴定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4.1 乙方应按照《产品开发技术协议》约定的节点将样品送交甲方</w:t>
      </w:r>
      <w:r>
        <w:rPr>
          <w:rFonts w:hint="eastAsia" w:ascii="宋体" w:hAnsi="宋体"/>
          <w:color w:val="000000"/>
          <w:sz w:val="24"/>
          <w:szCs w:val="24"/>
        </w:rPr>
        <w:t>指定的地</w:t>
      </w:r>
      <w:r>
        <w:rPr>
          <w:rFonts w:hint="eastAsia" w:ascii="宋体" w:hAnsi="宋体" w:cs="Arial"/>
          <w:color w:val="000000"/>
          <w:sz w:val="24"/>
          <w:szCs w:val="24"/>
        </w:rPr>
        <w:t>点。其中免费样件【</w:t>
      </w:r>
      <w:r>
        <w:rPr>
          <w:rFonts w:ascii="宋体" w:hAnsi="宋体" w:cs="Arial"/>
          <w:color w:val="000000"/>
          <w:sz w:val="24"/>
          <w:szCs w:val="24"/>
        </w:rPr>
        <w:t xml:space="preserve"> </w:t>
      </w:r>
      <w:r>
        <w:rPr>
          <w:rFonts w:hint="eastAsia" w:ascii="宋体" w:hAnsi="宋体" w:cs="Arial"/>
          <w:color w:val="000000"/>
          <w:sz w:val="24"/>
          <w:szCs w:val="24"/>
        </w:rPr>
        <w:t>2】套，超出部分按照【/】或双方另行约定的价格结算。</w:t>
      </w:r>
      <w:r>
        <w:rPr>
          <w:rFonts w:ascii="宋体" w:hAnsi="宋体" w:cs="Arial"/>
          <w:color w:val="000000"/>
          <w:sz w:val="24"/>
          <w:szCs w:val="24"/>
        </w:rPr>
        <w:t xml:space="preserve"> </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4.2 乙方提交产品样品的质量标准，如果是标准件，按照国家标准或者行业标准执行；如果是非标准件，按照甲方交付的实物样件、图纸、技术文件以及甲方下达的《技术通知单》执行。</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4.3 乙方在提交产品样品时，必须附有完整的总装图图纸以及制作技术参数等技术资料，并按照《产品开发技术协议》的要求附上自检报告和甲方认可的检测机构出具的检验报告及其他相关材料。</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4.4乙方提交的产品应按照《产品开发技术协议》零部件开发属性定义及其他条款的要求完成产品的相关认证及实验</w:t>
      </w:r>
      <w:r>
        <w:rPr>
          <w:rFonts w:ascii="宋体" w:hAnsi="宋体" w:cs="Arial"/>
          <w:color w:val="000000"/>
          <w:sz w:val="24"/>
          <w:szCs w:val="24"/>
        </w:rPr>
        <w:t>验证（</w:t>
      </w:r>
      <w:r>
        <w:rPr>
          <w:rFonts w:hint="eastAsia" w:ascii="宋体" w:hAnsi="宋体" w:cs="Arial"/>
          <w:color w:val="000000"/>
          <w:sz w:val="24"/>
          <w:szCs w:val="24"/>
        </w:rPr>
        <w:t>DV</w:t>
      </w:r>
      <w:r>
        <w:rPr>
          <w:rFonts w:ascii="宋体" w:hAnsi="宋体" w:cs="Arial"/>
          <w:color w:val="000000"/>
          <w:sz w:val="24"/>
          <w:szCs w:val="24"/>
        </w:rPr>
        <w:t>）</w:t>
      </w:r>
      <w:r>
        <w:rPr>
          <w:rFonts w:hint="eastAsia" w:ascii="宋体" w:hAnsi="宋体" w:cs="Arial"/>
          <w:color w:val="000000"/>
          <w:sz w:val="24"/>
          <w:szCs w:val="24"/>
        </w:rPr>
        <w:t>，符合</w:t>
      </w:r>
      <w:r>
        <w:rPr>
          <w:rFonts w:ascii="宋体" w:hAnsi="宋体" w:cs="Arial"/>
          <w:color w:val="000000"/>
          <w:sz w:val="24"/>
          <w:szCs w:val="24"/>
        </w:rPr>
        <w:t>相应的法规认可。</w:t>
      </w:r>
      <w:r>
        <w:rPr>
          <w:rFonts w:hint="eastAsia" w:ascii="宋体" w:hAnsi="宋体" w:cs="Arial"/>
          <w:color w:val="000000"/>
          <w:sz w:val="24"/>
          <w:szCs w:val="24"/>
        </w:rPr>
        <w:t>试验项目应由甲方认可的试验室或甲方认可的第三方机构进行，并提供有效试验报告。乙方委托甲方认可的第三方机构试验检测时，应将项目启动时间计划通报甲方；否则，由此导致增加的试验项目或重新检测的费用由乙方承担。</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第五条  产品样品的批量生产</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5</w:t>
      </w:r>
      <w:r>
        <w:rPr>
          <w:rFonts w:ascii="宋体" w:hAnsi="宋体" w:cs="Arial"/>
          <w:color w:val="000000"/>
          <w:sz w:val="24"/>
          <w:szCs w:val="24"/>
        </w:rPr>
        <w:t xml:space="preserve">.1 </w:t>
      </w:r>
      <w:r>
        <w:rPr>
          <w:rFonts w:hint="eastAsia" w:ascii="宋体" w:hAnsi="宋体" w:cs="Arial"/>
          <w:color w:val="000000"/>
          <w:sz w:val="24"/>
          <w:szCs w:val="24"/>
        </w:rPr>
        <w:t>乙方送交的新产品样品经甲方检测合格后，乙方应当根据甲方要求，安排产品样品批量生产。</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5</w:t>
      </w:r>
      <w:r>
        <w:rPr>
          <w:rFonts w:ascii="宋体" w:hAnsi="宋体" w:cs="Arial"/>
          <w:color w:val="000000"/>
          <w:sz w:val="24"/>
          <w:szCs w:val="24"/>
        </w:rPr>
        <w:t xml:space="preserve">.2 </w:t>
      </w:r>
      <w:r>
        <w:rPr>
          <w:rFonts w:hint="eastAsia" w:ascii="宋体" w:hAnsi="宋体" w:cs="Arial"/>
          <w:color w:val="000000"/>
          <w:sz w:val="24"/>
          <w:szCs w:val="24"/>
        </w:rPr>
        <w:t>乙方批量生产产品样品的具体数量和时间，由甲方以《计划通知单》的方式通知乙方。乙方应按照《计划通知单》的要求组织生产，并及时将批量生产的产品样品交付甲方指定地点。</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5</w:t>
      </w:r>
      <w:r>
        <w:rPr>
          <w:rFonts w:ascii="宋体" w:hAnsi="宋体" w:cs="Arial"/>
          <w:color w:val="000000"/>
          <w:sz w:val="24"/>
          <w:szCs w:val="24"/>
        </w:rPr>
        <w:t xml:space="preserve">.3 </w:t>
      </w:r>
      <w:r>
        <w:rPr>
          <w:rFonts w:hint="eastAsia" w:ascii="宋体" w:hAnsi="宋体" w:cs="Arial"/>
          <w:color w:val="000000"/>
          <w:sz w:val="24"/>
          <w:szCs w:val="24"/>
        </w:rPr>
        <w:t>乙方批量生产产品样品，由甲方经过装车、路试等程序，对该产品进行评审。评审结果合格的，甲方或甲方指定公司与乙方签订《外协产品买卖合同》。</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第六条  产品的价格确定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6.1 本合同项下零部件产品的价格，应当根据产品的目标成本和乙方开发生产成本核算，并经甲方审核后由甲乙双方加以确定。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6.2 本合同第一条汽车零部件产品价格为暂定价，该价格作为甲方或甲方指定公司与乙方签订《外协产品买卖合同》时的参考价。甲方鼓励乙方在不影响产品质量标准、技术性能的基础上，不断进行技术革新，降低生产成本。</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6.3 甲方或甲方指定公司在与乙方签订《外协产品买卖合同》时，有权根据市场价格变化情况，对本合同项下零部件新产品的价格做出相应调整。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6.4</w:t>
      </w:r>
      <w:r>
        <w:rPr>
          <w:rFonts w:hint="eastAsia" w:ascii="宋体" w:hAnsi="宋体"/>
          <w:sz w:val="24"/>
        </w:rPr>
        <w:t>如遇国家增值税税率调整，应按调整后</w:t>
      </w:r>
      <w:r>
        <w:rPr>
          <w:rFonts w:ascii="宋体" w:hAnsi="宋体"/>
          <w:sz w:val="24"/>
        </w:rPr>
        <w:t>最新</w:t>
      </w:r>
      <w:r>
        <w:rPr>
          <w:rFonts w:hint="eastAsia" w:ascii="宋体" w:hAnsi="宋体"/>
          <w:sz w:val="24"/>
        </w:rPr>
        <w:t>税率的金额调整相应的支付款项，即合同不含税价格不受国家增值税率调整的影响。</w:t>
      </w:r>
    </w:p>
    <w:p>
      <w:pPr>
        <w:spacing w:before="156" w:beforeLines="50" w:after="156" w:afterLines="50" w:line="440" w:lineRule="exact"/>
        <w:rPr>
          <w:rFonts w:ascii="宋体" w:hAnsi="宋体"/>
          <w:b/>
          <w:bCs/>
          <w:color w:val="000000"/>
          <w:sz w:val="24"/>
          <w:szCs w:val="24"/>
        </w:rPr>
      </w:pPr>
      <w:bookmarkStart w:id="7" w:name="_Hlk52808946"/>
      <w:r>
        <w:rPr>
          <w:rFonts w:hint="eastAsia" w:ascii="宋体" w:hAnsi="宋体"/>
          <w:b/>
          <w:bCs/>
          <w:color w:val="000000"/>
          <w:sz w:val="24"/>
          <w:szCs w:val="24"/>
        </w:rPr>
        <w:t>第七条 产品开发费用</w:t>
      </w:r>
    </w:p>
    <w:bookmarkEnd w:id="7"/>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7.1</w:t>
      </w:r>
      <w:r>
        <w:rPr>
          <w:rFonts w:ascii="宋体" w:hAnsi="宋体" w:cs="Arial"/>
          <w:color w:val="000000"/>
          <w:sz w:val="24"/>
          <w:szCs w:val="24"/>
        </w:rPr>
        <w:t xml:space="preserve"> </w:t>
      </w:r>
      <w:r>
        <w:rPr>
          <w:rFonts w:hint="eastAsia" w:ascii="宋体" w:hAnsi="宋体"/>
          <w:sz w:val="24"/>
          <w:szCs w:val="24"/>
        </w:rPr>
        <w:t>本合同项下产品</w:t>
      </w:r>
      <w:r>
        <w:rPr>
          <w:rFonts w:hint="eastAsia" w:ascii="宋体" w:hAnsi="宋体"/>
          <w:vanish/>
          <w:sz w:val="24"/>
          <w:szCs w:val="24"/>
        </w:rPr>
        <w:t>确良</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t>7.17.1产品产品</w:t>
      </w:r>
      <w:r>
        <w:rPr>
          <w:rFonts w:hint="eastAsia" w:ascii="宋体" w:hAnsi="宋体"/>
          <w:sz w:val="24"/>
          <w:szCs w:val="24"/>
        </w:rPr>
        <w:t>开发费用（包括但不限于模、检、夹具费用、设计验证费用、认证费用、</w:t>
      </w:r>
      <w:r>
        <w:rPr>
          <w:rFonts w:hint="eastAsia" w:ascii="宋体" w:hAnsi="宋体" w:cs="Arial"/>
          <w:color w:val="000000"/>
          <w:sz w:val="24"/>
          <w:szCs w:val="24"/>
        </w:rPr>
        <w:t>根据中国以及任何其他国家或者地区的知识产权法律法规，乙方人员因开发本合同项下产品的发明或设计应当获得的奖励或者报酬</w:t>
      </w:r>
      <w:r>
        <w:rPr>
          <w:rFonts w:hint="eastAsia" w:ascii="宋体" w:hAnsi="宋体" w:cs="Arial"/>
          <w:color w:val="000000" w:themeColor="text1"/>
          <w:sz w:val="24"/>
          <w:szCs w:val="24"/>
          <w14:textFill>
            <w14:solidFill>
              <w14:schemeClr w14:val="tx1"/>
            </w14:solidFill>
          </w14:textFill>
        </w:rPr>
        <w:t>等</w:t>
      </w:r>
      <w:r>
        <w:rPr>
          <w:rFonts w:hint="eastAsia" w:ascii="宋体" w:hAnsi="宋体"/>
          <w:sz w:val="24"/>
          <w:szCs w:val="24"/>
        </w:rPr>
        <w:t>）共计【</w:t>
      </w:r>
      <w:r>
        <w:rPr>
          <w:rFonts w:ascii="宋体" w:hAnsi="宋体"/>
          <w:sz w:val="24"/>
          <w:szCs w:val="24"/>
        </w:rPr>
        <w:t>14995000.00</w:t>
      </w:r>
      <w:r>
        <w:rPr>
          <w:rFonts w:hint="eastAsia" w:ascii="宋体" w:hAnsi="宋体"/>
          <w:sz w:val="24"/>
          <w:szCs w:val="24"/>
        </w:rPr>
        <w:t>】元整（含税），双方同意按以下第【4】种方式进行分摊/承担：</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(1)均由乙方承担，不进行分摊。</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(2)甲方同意承担开发费用【 /</w:t>
      </w:r>
      <w:r>
        <w:rPr>
          <w:rFonts w:ascii="宋体" w:hAnsi="宋体" w:cs="Arial"/>
          <w:color w:val="000000"/>
          <w:sz w:val="24"/>
          <w:szCs w:val="24"/>
        </w:rPr>
        <w:t xml:space="preserve"> </w:t>
      </w:r>
      <w:r>
        <w:rPr>
          <w:rFonts w:hint="eastAsia" w:ascii="宋体" w:hAnsi="宋体" w:cs="Arial"/>
          <w:color w:val="000000"/>
          <w:sz w:val="24"/>
          <w:szCs w:val="24"/>
        </w:rPr>
        <w:t>】元，其中设计验证费用【 /</w:t>
      </w:r>
      <w:r>
        <w:rPr>
          <w:rFonts w:ascii="宋体" w:hAnsi="宋体" w:cs="Arial"/>
          <w:color w:val="000000"/>
          <w:sz w:val="24"/>
          <w:szCs w:val="24"/>
        </w:rPr>
        <w:t xml:space="preserve"> </w:t>
      </w:r>
      <w:r>
        <w:rPr>
          <w:rFonts w:hint="eastAsia" w:ascii="宋体" w:hAnsi="宋体" w:cs="Arial"/>
          <w:color w:val="000000"/>
          <w:sz w:val="24"/>
          <w:szCs w:val="24"/>
        </w:rPr>
        <w:t>】元，模、检夹具费用【/】元。支付方式为：</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r>
        <w:rPr>
          <w:rFonts w:hint="eastAsia" w:ascii="宋体" w:hAnsi="宋体" w:cs="Arial"/>
          <w:color w:val="000000"/>
          <w:sz w:val="24"/>
          <w:szCs w:val="24"/>
          <w:u w:val="single"/>
        </w:rPr>
        <w:t>/</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hint="eastAsia" w:ascii="宋体" w:hAnsi="宋体" w:cs="Arial"/>
          <w:color w:val="000000"/>
          <w:sz w:val="24"/>
          <w:szCs w:val="24"/>
        </w:rPr>
        <w:t>；其余费用均由乙方承担。</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(3)甲方同意承担开发费用【/】元，其中设计验证费用【/】元，模、检夹具费用【/】元。支付方式：依据甲方或甲方指定公司与乙方签订的《外协产品买卖合同》中约定的产品价格按【/】台（套）逐步分摊；其余费用均由乙方承担。</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4</w:t>
      </w:r>
      <w:r>
        <w:rPr>
          <w:rFonts w:hint="eastAsia" w:ascii="宋体" w:hAnsi="宋体" w:cs="Arial"/>
          <w:color w:val="000000"/>
          <w:sz w:val="24"/>
          <w:szCs w:val="24"/>
        </w:rPr>
        <w:t>）全部由甲方承担【</w:t>
      </w:r>
      <w:r>
        <w:rPr>
          <w:rFonts w:ascii="宋体" w:hAnsi="宋体" w:cs="Arial"/>
          <w:color w:val="000000"/>
          <w:sz w:val="24"/>
          <w:szCs w:val="24"/>
        </w:rPr>
        <w:t>14995000.00</w:t>
      </w:r>
      <w:r>
        <w:rPr>
          <w:rFonts w:hint="eastAsia" w:ascii="宋体" w:hAnsi="宋体" w:cs="Arial"/>
          <w:color w:val="000000"/>
          <w:sz w:val="24"/>
          <w:szCs w:val="24"/>
        </w:rPr>
        <w:t>】元，其中设计验证费用【</w:t>
      </w:r>
      <w:r>
        <w:rPr>
          <w:rFonts w:ascii="宋体" w:hAnsi="宋体" w:cs="Arial"/>
          <w:color w:val="000000"/>
          <w:sz w:val="24"/>
          <w:szCs w:val="24"/>
        </w:rPr>
        <w:t>8215000.00</w:t>
      </w:r>
      <w:r>
        <w:rPr>
          <w:rFonts w:hint="eastAsia" w:ascii="宋体" w:hAnsi="宋体" w:cs="Arial"/>
          <w:color w:val="000000"/>
          <w:sz w:val="24"/>
          <w:szCs w:val="24"/>
        </w:rPr>
        <w:t>】元，</w:t>
      </w:r>
      <w:r>
        <w:rPr>
          <w:rFonts w:hint="eastAsia" w:ascii="宋体" w:hAnsi="宋体"/>
          <w:sz w:val="24"/>
          <w:szCs w:val="24"/>
        </w:rPr>
        <w:t>模、检夹具</w:t>
      </w:r>
      <w:r>
        <w:rPr>
          <w:rFonts w:hint="eastAsia" w:ascii="宋体" w:hAnsi="宋体" w:cs="Arial"/>
          <w:color w:val="000000"/>
          <w:sz w:val="24"/>
          <w:szCs w:val="24"/>
        </w:rPr>
        <w:t>费用【</w:t>
      </w:r>
      <w:r>
        <w:rPr>
          <w:rFonts w:ascii="宋体" w:hAnsi="宋体" w:cs="Arial"/>
          <w:color w:val="000000"/>
          <w:sz w:val="24"/>
          <w:szCs w:val="24"/>
        </w:rPr>
        <w:t>6780000.00</w:t>
      </w:r>
      <w:r>
        <w:rPr>
          <w:rFonts w:hint="eastAsia" w:ascii="宋体" w:hAnsi="宋体" w:cs="Arial"/>
          <w:b/>
          <w:color w:val="000000"/>
          <w:sz w:val="24"/>
          <w:szCs w:val="24"/>
        </w:rPr>
        <w:t>】</w:t>
      </w:r>
      <w:r>
        <w:rPr>
          <w:rFonts w:hint="eastAsia" w:ascii="宋体" w:hAnsi="宋体" w:cs="Arial"/>
          <w:color w:val="000000"/>
          <w:sz w:val="24"/>
          <w:szCs w:val="24"/>
        </w:rPr>
        <w:t>元。支付方式为：总费用50%支付7497500元含税，按照1.开模指令下发支付50%，3748750元；2.</w:t>
      </w:r>
      <w:r>
        <w:rPr>
          <w:rFonts w:ascii="宋体" w:hAnsi="宋体" w:cs="Arial"/>
          <w:color w:val="000000"/>
          <w:sz w:val="24"/>
          <w:szCs w:val="24"/>
        </w:rPr>
        <w:t>OTS</w:t>
      </w:r>
      <w:r>
        <w:rPr>
          <w:rFonts w:hint="eastAsia" w:ascii="宋体" w:hAnsi="宋体" w:cs="Arial"/>
          <w:color w:val="000000"/>
          <w:sz w:val="24"/>
          <w:szCs w:val="24"/>
        </w:rPr>
        <w:t>完成支付30%，2249250元，3.</w:t>
      </w:r>
      <w:r>
        <w:rPr>
          <w:rFonts w:ascii="宋体" w:hAnsi="宋体" w:cs="Arial"/>
          <w:color w:val="000000"/>
          <w:sz w:val="24"/>
          <w:szCs w:val="24"/>
        </w:rPr>
        <w:t>PPAP</w:t>
      </w:r>
      <w:r>
        <w:rPr>
          <w:rFonts w:hint="eastAsia" w:ascii="宋体" w:hAnsi="宋体" w:cs="Arial"/>
          <w:color w:val="000000"/>
          <w:sz w:val="24"/>
          <w:szCs w:val="24"/>
        </w:rPr>
        <w:t>认可完成支付20%，1499500元;其余费用7497500元依据甲方或甲方关联公司与乙方签订的《外协产品买卖合同》中约定的产品价格中按【30000】台（套）逐步分摊。</w:t>
      </w:r>
    </w:p>
    <w:p>
      <w:pPr>
        <w:spacing w:before="156" w:beforeLines="50" w:after="156" w:afterLines="50" w:line="440" w:lineRule="exact"/>
        <w:ind w:firstLine="480" w:firstLineChars="200"/>
        <w:rPr>
          <w:rFonts w:ascii="宋体" w:hAnsi="宋体" w:cs="Arial"/>
          <w:color w:val="000000"/>
          <w:sz w:val="24"/>
          <w:szCs w:val="24"/>
          <w:u w:val="single"/>
        </w:rPr>
      </w:pPr>
      <w:r>
        <w:rPr>
          <w:rFonts w:hint="eastAsia" w:ascii="宋体" w:hAnsi="宋体" w:cs="Arial"/>
          <w:color w:val="000000"/>
          <w:sz w:val="24"/>
          <w:szCs w:val="24"/>
        </w:rPr>
        <w:t>(5)全部由甲方承担，依据甲方或甲方关联公司与乙方双方签订的《外协产品买卖合同》中约定的产品价格中按【/】台（套）逐步分摊。</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(6)其他：</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r>
        <w:rPr>
          <w:rFonts w:hint="eastAsia" w:ascii="宋体" w:hAnsi="宋体" w:cs="Arial"/>
          <w:color w:val="000000"/>
          <w:sz w:val="24"/>
          <w:szCs w:val="24"/>
          <w:u w:val="single"/>
        </w:rPr>
        <w:t>/</w:t>
      </w:r>
      <w:r>
        <w:rPr>
          <w:rFonts w:ascii="宋体" w:hAnsi="宋体" w:cs="Arial"/>
          <w:color w:val="000000"/>
          <w:sz w:val="24"/>
          <w:szCs w:val="24"/>
          <w:u w:val="single"/>
        </w:rPr>
        <w:t xml:space="preserve">          </w:t>
      </w:r>
      <w:r>
        <w:rPr>
          <w:rFonts w:hint="eastAsia" w:ascii="宋体" w:hAnsi="宋体" w:cs="Arial"/>
          <w:color w:val="000000"/>
          <w:sz w:val="24"/>
          <w:szCs w:val="24"/>
        </w:rPr>
        <w:t>。</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7.2</w:t>
      </w:r>
      <w:r>
        <w:rPr>
          <w:rFonts w:ascii="宋体" w:hAnsi="宋体" w:cs="Arial"/>
          <w:color w:val="000000"/>
          <w:sz w:val="24"/>
          <w:szCs w:val="24"/>
        </w:rPr>
        <w:t xml:space="preserve"> </w:t>
      </w:r>
      <w:r>
        <w:rPr>
          <w:rFonts w:hint="eastAsia" w:ascii="宋体" w:hAnsi="宋体" w:cs="Arial"/>
          <w:color w:val="000000"/>
          <w:sz w:val="24"/>
          <w:szCs w:val="24"/>
        </w:rPr>
        <w:t>本合同项下产品样品，由乙方交付到甲方指定地点，费用由乙方承担。</w:t>
      </w:r>
    </w:p>
    <w:p>
      <w:pPr>
        <w:spacing w:before="156" w:beforeLines="50" w:after="156" w:afterLines="50" w:line="440" w:lineRule="exact"/>
        <w:ind w:firstLine="480" w:firstLineChars="200"/>
        <w:rPr>
          <w:rFonts w:ascii="宋体" w:hAnsi="宋体"/>
          <w:sz w:val="24"/>
          <w:szCs w:val="24"/>
        </w:rPr>
      </w:pPr>
      <w:r>
        <w:rPr>
          <w:rFonts w:hint="eastAsia" w:ascii="宋体" w:hAnsi="宋体" w:cs="Arial"/>
          <w:color w:val="000000"/>
          <w:sz w:val="24"/>
          <w:szCs w:val="24"/>
        </w:rPr>
        <w:t>7.3 如果乙方制作的新产品经甲方最终验收确认为不合格的，新产品全部开发费用由乙方自行承担；甲方已经支付的开发费用，乙方应当</w:t>
      </w:r>
      <w:r>
        <w:rPr>
          <w:rFonts w:hint="eastAsia" w:ascii="宋体" w:hAnsi="宋体"/>
          <w:sz w:val="24"/>
          <w:szCs w:val="24"/>
        </w:rPr>
        <w:t>全部退还。</w:t>
      </w:r>
    </w:p>
    <w:p>
      <w:pPr>
        <w:spacing w:before="156" w:beforeLines="50" w:after="156" w:afterLines="50" w:line="440" w:lineRule="exact"/>
        <w:ind w:firstLine="480" w:firstLineChars="200"/>
        <w:rPr>
          <w:rFonts w:ascii="宋体" w:hAnsi="宋体"/>
          <w:sz w:val="24"/>
          <w:szCs w:val="24"/>
        </w:rPr>
      </w:pPr>
      <w:r>
        <w:rPr>
          <w:rFonts w:hint="eastAsia" w:ascii="宋体" w:hAnsi="宋体"/>
          <w:sz w:val="24"/>
          <w:szCs w:val="24"/>
        </w:rPr>
        <w:t>7.4甲方每次付款前，乙方均需向甲方开具等额增值税专用发票（税率详见本合同第一条约定），乙方未开具符合甲方要求的增值税专用发票的，甲方有权不付款并不承担逾期付款的违约责任。</w:t>
      </w:r>
    </w:p>
    <w:p>
      <w:pPr>
        <w:spacing w:before="156" w:beforeLines="50" w:after="156" w:afterLines="50" w:line="440" w:lineRule="exact"/>
        <w:ind w:firstLine="480" w:firstLineChars="200"/>
        <w:rPr>
          <w:rFonts w:ascii="宋体" w:hAnsi="宋体"/>
          <w:sz w:val="24"/>
          <w:szCs w:val="24"/>
        </w:rPr>
      </w:pPr>
      <w:r>
        <w:rPr>
          <w:rFonts w:hint="eastAsia" w:ascii="宋体" w:hAnsi="宋体"/>
          <w:sz w:val="24"/>
          <w:szCs w:val="24"/>
        </w:rPr>
        <w:t>7.5乙方同意当单次或累计付款金额达人民币10万以上（包含10万）时，甲方有权通过银行承兑汇票支付。</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八条</w:t>
      </w:r>
      <w:r>
        <w:rPr>
          <w:rFonts w:hint="eastAsia" w:ascii="宋体" w:hAnsi="宋体"/>
          <w:b/>
          <w:bCs/>
          <w:color w:val="000000"/>
          <w:sz w:val="24"/>
          <w:szCs w:val="24"/>
        </w:rPr>
        <w:t xml:space="preserve">  技术成果及与产品开发有关的知识产权归属及保护</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8.1 本合同签订生效前各方所有的背景知识产权仍为各方所有，任何基于开发工作并基于本合同目的所产生的新的知识产权、专有技术和技术信息等为甲方所有。</w:t>
      </w:r>
    </w:p>
    <w:p>
      <w:pPr>
        <w:spacing w:before="156" w:beforeLines="50" w:after="156" w:afterLines="50" w:line="440" w:lineRule="exact"/>
        <w:ind w:firstLine="480" w:firstLineChars="200"/>
        <w:rPr>
          <w:rFonts w:ascii="宋体" w:hAnsi="宋体" w:cs="Arial"/>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 xml:space="preserve"> 本合同项下产品所涉及的乙方专有技术成果及相关知识产权，乙方同意授权甲方或甲方关联公司在本合同目的范围内享有包括使用、销售、再制造等永久的、不可撤销的、无偿的许可。</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 xml:space="preserve">3 </w:t>
      </w:r>
      <w:r>
        <w:rPr>
          <w:rFonts w:hint="eastAsia" w:ascii="宋体" w:hAnsi="宋体" w:cs="Arial"/>
          <w:color w:val="000000"/>
          <w:sz w:val="24"/>
          <w:szCs w:val="24"/>
        </w:rPr>
        <w:t>未经甲方书面同意，乙方不得私自复印、翻录本合同项下任何技术资料；不得以任何方式向第三方泄露或提供产品开发相关的技术成果。</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 xml:space="preserve">4 </w:t>
      </w:r>
      <w:r>
        <w:rPr>
          <w:rFonts w:hint="eastAsia" w:ascii="宋体" w:hAnsi="宋体" w:cs="Arial"/>
          <w:color w:val="000000"/>
          <w:sz w:val="24"/>
          <w:szCs w:val="24"/>
        </w:rPr>
        <w:t>乙方有权在本合同及以后可能签订的《外协产品买卖合同》有效期内使用本合同项下产品涉及的甲方知识产权，但是这种使用必须事先取得甲方的书面许可，并且不产生任何知识产权转移、再许可、分许可的效力。</w:t>
      </w:r>
    </w:p>
    <w:p>
      <w:pPr>
        <w:snapToGrid w:val="0"/>
        <w:spacing w:before="50" w:after="50" w:line="440" w:lineRule="exact"/>
        <w:ind w:right="-105" w:firstLine="480" w:firstLineChars="200"/>
        <w:rPr>
          <w:rFonts w:ascii="宋体" w:hAnsi="宋体"/>
          <w:sz w:val="24"/>
        </w:rPr>
      </w:pPr>
      <w:r>
        <w:rPr>
          <w:rFonts w:hint="eastAsia" w:ascii="宋体" w:hAnsi="宋体" w:cs="Arial"/>
          <w:color w:val="000000"/>
          <w:sz w:val="24"/>
          <w:szCs w:val="24"/>
        </w:rPr>
        <w:t>8.</w:t>
      </w:r>
      <w:r>
        <w:rPr>
          <w:rFonts w:ascii="宋体" w:hAnsi="宋体" w:cs="Arial"/>
          <w:color w:val="000000"/>
          <w:sz w:val="24"/>
          <w:szCs w:val="24"/>
        </w:rPr>
        <w:t xml:space="preserve">5 </w:t>
      </w:r>
      <w:r>
        <w:rPr>
          <w:rFonts w:hint="eastAsia" w:ascii="宋体" w:hAnsi="宋体"/>
          <w:sz w:val="24"/>
          <w:szCs w:val="24"/>
        </w:rPr>
        <w:t>乙方保证履行本合同所递交的交付物，不会侵犯任何第三方的知识产权或其他合法权益，且</w:t>
      </w:r>
      <w:r>
        <w:rPr>
          <w:rFonts w:hint="eastAsia" w:ascii="宋体" w:hAnsi="宋体"/>
          <w:sz w:val="24"/>
        </w:rPr>
        <w:t>不存在与知识产权有关的尚未解决的索赔、主张或未决诉讼</w:t>
      </w:r>
      <w:r>
        <w:rPr>
          <w:rFonts w:hint="eastAsia" w:ascii="宋体" w:hAnsi="宋体"/>
          <w:sz w:val="24"/>
          <w:szCs w:val="24"/>
        </w:rPr>
        <w:t>。如因乙方交付的开发成果引起任何知识产权争议，均由乙方负责解决并承担相应法律责任；若由此导致第三方向甲方主张权益、诉讼或索赔的，乙方应负责应诉并为甲方抗辩，或在甲方的要求下合作抗辩</w:t>
      </w:r>
      <w:r>
        <w:rPr>
          <w:rFonts w:hint="eastAsia" w:ascii="宋体" w:hAnsi="宋体"/>
          <w:sz w:val="24"/>
        </w:rPr>
        <w:t>，以保障甲方的利益不受损害。乙方应赔偿甲方因此而支出的包括诉讼费、律师费、向第三方支付的索赔额在内的全部费用。在前述索赔已经发生或可能发生时，乙方应自行承担费用采取下列补救措施中最先可行的：（i）使甲方得到继续使用和销售本协议产品的权利；（ii）修改产品使其不侵权并满足技术协议要求或产品开发目的。</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sz w:val="24"/>
          <w:szCs w:val="24"/>
        </w:rPr>
        <w:t>8.</w:t>
      </w:r>
      <w:r>
        <w:rPr>
          <w:rFonts w:ascii="宋体" w:hAnsi="宋体"/>
          <w:sz w:val="24"/>
          <w:szCs w:val="24"/>
        </w:rPr>
        <w:t xml:space="preserve">6 </w:t>
      </w:r>
      <w:r>
        <w:rPr>
          <w:rFonts w:hint="eastAsia" w:ascii="宋体" w:hAnsi="宋体"/>
          <w:sz w:val="24"/>
          <w:szCs w:val="24"/>
        </w:rPr>
        <w:t>在任何情形下（包括产品开发终止的情况），甲方有权随时要求乙方将因履行本合同所产生的</w:t>
      </w:r>
      <w:r>
        <w:rPr>
          <w:rFonts w:hint="eastAsia" w:ascii="宋体" w:hAnsi="宋体"/>
          <w:bCs/>
          <w:sz w:val="24"/>
          <w:szCs w:val="24"/>
        </w:rPr>
        <w:t>技术资料、技术成果</w:t>
      </w:r>
      <w:r>
        <w:rPr>
          <w:rFonts w:hint="eastAsia" w:ascii="宋体" w:hAnsi="宋体"/>
          <w:sz w:val="24"/>
          <w:szCs w:val="24"/>
        </w:rPr>
        <w:t>（</w:t>
      </w:r>
      <w:r>
        <w:rPr>
          <w:rFonts w:hint="eastAsia" w:ascii="宋体" w:hAnsi="宋体" w:cs="Arial"/>
          <w:color w:val="000000"/>
          <w:sz w:val="24"/>
          <w:szCs w:val="24"/>
        </w:rPr>
        <w:t>包括</w:t>
      </w:r>
      <w:r>
        <w:rPr>
          <w:rFonts w:hint="eastAsia" w:ascii="宋体" w:hAnsi="宋体"/>
          <w:sz w:val="24"/>
        </w:rPr>
        <w:t>但不限于与技术有关的结构、材料、样件、图纸、工艺、方法、实验数据、计算机程序及有关文档等信息）</w:t>
      </w:r>
      <w:r>
        <w:rPr>
          <w:rFonts w:hint="eastAsia" w:ascii="宋体" w:hAnsi="宋体"/>
          <w:sz w:val="24"/>
          <w:szCs w:val="24"/>
        </w:rPr>
        <w:t>交付给甲方，乙方应根据甲方指定的时间、地点、方式进行交付，且不得做任何形式的保留、使用、许可使用。</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九条</w:t>
      </w:r>
      <w:r>
        <w:rPr>
          <w:rFonts w:hint="eastAsia" w:ascii="宋体" w:hAnsi="宋体"/>
          <w:b/>
          <w:bCs/>
          <w:color w:val="000000"/>
          <w:sz w:val="24"/>
          <w:szCs w:val="24"/>
        </w:rPr>
        <w:t xml:space="preserve">  模、检、夹具产权的归属</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9.1 本合同项下零部件产品开发的模、检、夹具费用，按本合同第七条的约定分摊/承担。模、检、夹具</w:t>
      </w:r>
      <w:r>
        <w:rPr>
          <w:rFonts w:hint="eastAsia" w:ascii="宋体" w:hAnsi="宋体" w:cs="Arial"/>
          <w:sz w:val="24"/>
          <w:szCs w:val="24"/>
        </w:rPr>
        <w:t>所有权归属甲方</w:t>
      </w:r>
      <w:r>
        <w:rPr>
          <w:rFonts w:hint="eastAsia" w:ascii="宋体" w:hAnsi="宋体" w:cs="Arial"/>
          <w:color w:val="000000"/>
          <w:sz w:val="24"/>
          <w:szCs w:val="24"/>
        </w:rPr>
        <w:t>，具体模、检、夹具清单详见本合同第二十条。</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9.2 在本合同及以后可能签订的《外协产品买卖合同》有效期内，乙方不得使用本合同项下的模、检、夹具为任何第三方服务，但经甲方书面授权并且有偿使用者除外。</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9.3 本合同及以后可能签订的《外协产品买卖合同》终止，乙方应当及时将本合同项下的模、检、夹具交付甲方。</w:t>
      </w:r>
      <w:r>
        <w:rPr>
          <w:rFonts w:ascii="宋体" w:hAnsi="宋体" w:cs="Arial"/>
          <w:color w:val="000000"/>
          <w:sz w:val="24"/>
          <w:szCs w:val="24"/>
        </w:rPr>
        <w:t xml:space="preserve"> </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9.4 所有权属于甲方的模、检、夹具及其相关附件/部件、资料等，甲方有权随时调配；在甲方提出调配要求时，乙方同意在甲方要求期限内无条件归还/调配或及时予以先行配合，运杂费由乙方承担。上述模、检、夹具属于不得留置的物，排除留置权的适用，乙方同意不得以任何理由对上述模、检、夹具留置。</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9.5若乙方由于破产、公司解散等原因，可能导致甲方拥有或部分拥有的模、检、夹具及其相关附件/部件、资料等的所有权受到侵害，乙方应立即通知甲方，并采取必要的措施以保证甲方的所有权不受侵害。</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第十条  产</w:t>
      </w:r>
      <w:r>
        <w:rPr>
          <w:rFonts w:ascii="宋体" w:hAnsi="宋体"/>
          <w:b/>
          <w:bCs/>
          <w:color w:val="000000"/>
          <w:sz w:val="24"/>
          <w:szCs w:val="24"/>
        </w:rPr>
        <w:t>品开发的</w:t>
      </w:r>
      <w:r>
        <w:rPr>
          <w:rFonts w:hint="eastAsia" w:ascii="宋体" w:hAnsi="宋体"/>
          <w:b/>
          <w:bCs/>
          <w:color w:val="000000"/>
          <w:sz w:val="24"/>
          <w:szCs w:val="24"/>
        </w:rPr>
        <w:t>质量要求</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 xml:space="preserve">10.1变更、异常时的管理 </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10.1</w:t>
      </w:r>
      <w:r>
        <w:rPr>
          <w:rFonts w:ascii="宋体" w:hAnsi="宋体" w:cs="Arial"/>
          <w:color w:val="000000"/>
          <w:sz w:val="24"/>
          <w:szCs w:val="24"/>
        </w:rPr>
        <w:t>.1</w:t>
      </w:r>
      <w:r>
        <w:rPr>
          <w:rFonts w:hint="eastAsia" w:ascii="宋体" w:hAnsi="宋体" w:cs="Arial"/>
          <w:color w:val="000000"/>
          <w:sz w:val="24"/>
          <w:szCs w:val="24"/>
        </w:rPr>
        <w:t>乙方在做出任何有可能影响到产品质量的计划性变动以前，应征得甲方的批准，尤其是在下列各条之一变更时，应当立即将此事书面报告甲方并取得甲方认可。</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10.1.1</w:t>
      </w:r>
      <w:r>
        <w:rPr>
          <w:rFonts w:ascii="宋体" w:hAnsi="宋体" w:cs="Arial"/>
          <w:color w:val="000000"/>
          <w:sz w:val="24"/>
          <w:szCs w:val="24"/>
        </w:rPr>
        <w:t>.1</w:t>
      </w:r>
      <w:r>
        <w:rPr>
          <w:rFonts w:hint="eastAsia" w:ascii="宋体" w:hAnsi="宋体" w:cs="Arial"/>
          <w:color w:val="000000"/>
          <w:sz w:val="24"/>
          <w:szCs w:val="24"/>
        </w:rPr>
        <w:t>所有设计更改（包括材料的更改）。</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10.1.</w:t>
      </w:r>
      <w:r>
        <w:rPr>
          <w:rFonts w:ascii="宋体" w:hAnsi="宋体" w:cs="Arial"/>
          <w:color w:val="000000"/>
          <w:sz w:val="24"/>
          <w:szCs w:val="24"/>
        </w:rPr>
        <w:t>1.</w:t>
      </w:r>
      <w:r>
        <w:rPr>
          <w:rFonts w:hint="eastAsia" w:ascii="宋体" w:hAnsi="宋体" w:cs="Arial"/>
          <w:color w:val="000000"/>
          <w:sz w:val="24"/>
          <w:szCs w:val="24"/>
        </w:rPr>
        <w:t>2主要过程更改（类别1）:</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a)零件的过程更改可能会影响到A、B类特性的；</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b)生产场地的变更（包括分供方）；</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c)分承包方的变更；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d)重要过程流程、作业小组以及作业人员的变更；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e)模具的变更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10.1</w:t>
      </w:r>
      <w:r>
        <w:rPr>
          <w:rFonts w:ascii="宋体" w:hAnsi="宋体" w:cs="Arial"/>
          <w:color w:val="000000"/>
          <w:sz w:val="24"/>
          <w:szCs w:val="24"/>
        </w:rPr>
        <w:t>.1</w:t>
      </w:r>
      <w:r>
        <w:rPr>
          <w:rFonts w:hint="eastAsia" w:ascii="宋体" w:hAnsi="宋体" w:cs="Arial"/>
          <w:color w:val="000000"/>
          <w:sz w:val="24"/>
          <w:szCs w:val="24"/>
        </w:rPr>
        <w:t>.3主要过程更改（类别2）:</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a)作业人员的显著变更（30%以上的作业、关键工序人员）；</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b)使用新的或改进的机器设备、工装和夹具等；</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c)设备机器的全面检修；</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d)设备、工装超过6个月没有进行批量生产；</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e)设备、机器重新布置的过程更改；</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f)散装材料的变更；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g)使用的材料、散装材料存放时间超过1年；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h)制造方法的变更，例如从手动改成自动，电焊改成ark焊；</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i)制造条件的显著变化，超过规范/公差要求，例如焊接、油漆、表面处理、热处理、锻造、成型、机械加工、研磨等；</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j)过程的添加、删除或合并；</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k)检查方法的变更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l)包装，运输方式变更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在新品开发过程中，双方由于自身理由，有必要对产品实施上述变更时，立即书面通知对方，双方在协商基础上实行变更。</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其中涉及到甲方产品第10.1</w:t>
      </w:r>
      <w:r>
        <w:rPr>
          <w:rFonts w:ascii="宋体" w:hAnsi="宋体" w:cs="Arial"/>
          <w:color w:val="000000"/>
          <w:sz w:val="24"/>
          <w:szCs w:val="24"/>
        </w:rPr>
        <w:t>.1</w:t>
      </w:r>
      <w:r>
        <w:rPr>
          <w:rFonts w:hint="eastAsia" w:ascii="宋体" w:hAnsi="宋体" w:cs="Arial"/>
          <w:color w:val="000000"/>
          <w:sz w:val="24"/>
          <w:szCs w:val="24"/>
        </w:rPr>
        <w:t>.1条的变更时，乙方必须提前获取甲方的正式书面文件，并重新完成相应的试验验证，重新提交PPAP资料并获得认可；</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涉及到甲方产品第10.</w:t>
      </w:r>
      <w:r>
        <w:rPr>
          <w:rFonts w:ascii="宋体" w:hAnsi="宋体" w:cs="Arial"/>
          <w:color w:val="000000"/>
          <w:sz w:val="24"/>
          <w:szCs w:val="24"/>
        </w:rPr>
        <w:t>1.</w:t>
      </w:r>
      <w:r>
        <w:rPr>
          <w:rFonts w:hint="eastAsia" w:ascii="宋体" w:hAnsi="宋体" w:cs="Arial"/>
          <w:color w:val="000000"/>
          <w:sz w:val="24"/>
          <w:szCs w:val="24"/>
        </w:rPr>
        <w:t>1.2条、第10.</w:t>
      </w:r>
      <w:r>
        <w:rPr>
          <w:rFonts w:ascii="宋体" w:hAnsi="宋体" w:cs="Arial"/>
          <w:color w:val="000000"/>
          <w:sz w:val="24"/>
          <w:szCs w:val="24"/>
        </w:rPr>
        <w:t>1.</w:t>
      </w:r>
      <w:r>
        <w:rPr>
          <w:rFonts w:hint="eastAsia" w:ascii="宋体" w:hAnsi="宋体" w:cs="Arial"/>
          <w:color w:val="000000"/>
          <w:sz w:val="24"/>
          <w:szCs w:val="24"/>
        </w:rPr>
        <w:t>1.3条之一变更时，乙方必须提前获取甲方SQE的正式书面文件，并重新提交PPAP资料并获得甲方认可。</w:t>
      </w:r>
    </w:p>
    <w:p>
      <w:pPr>
        <w:spacing w:before="156" w:beforeLines="50" w:after="156" w:afterLines="50" w:line="440" w:lineRule="exact"/>
        <w:ind w:firstLine="480" w:firstLineChars="200"/>
        <w:rPr>
          <w:rFonts w:ascii="宋体" w:hAnsi="宋体"/>
          <w:b/>
          <w:color w:val="000000"/>
          <w:sz w:val="22"/>
          <w:szCs w:val="24"/>
        </w:rPr>
      </w:pPr>
      <w:r>
        <w:rPr>
          <w:rFonts w:ascii="宋体" w:hAnsi="宋体" w:cs="Arial"/>
          <w:color w:val="000000"/>
          <w:sz w:val="24"/>
          <w:szCs w:val="24"/>
        </w:rPr>
        <w:t>10.2</w:t>
      </w:r>
      <w:r>
        <w:rPr>
          <w:rFonts w:hint="eastAsia" w:ascii="宋体" w:hAnsi="宋体" w:cs="Arial"/>
          <w:color w:val="000000"/>
          <w:sz w:val="24"/>
          <w:szCs w:val="24"/>
        </w:rPr>
        <w:t>开发过程质量目标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658"/>
        <w:gridCol w:w="878"/>
        <w:gridCol w:w="1510"/>
        <w:gridCol w:w="1604"/>
        <w:gridCol w:w="133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69" w:type="pct"/>
            <w:vMerge w:val="restart"/>
            <w:tcBorders>
              <w:top w:val="single" w:color="auto" w:sz="4" w:space="0"/>
              <w:left w:val="single" w:color="auto" w:sz="4" w:space="0"/>
              <w:bottom w:val="single" w:color="auto" w:sz="4" w:space="0"/>
              <w:right w:val="single" w:color="auto" w:sz="4" w:space="0"/>
            </w:tcBorders>
            <w:noWrap/>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901" w:type="pct"/>
            <w:gridSpan w:val="2"/>
            <w:vMerge w:val="restar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3630" w:type="pct"/>
            <w:gridSpan w:val="4"/>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新品开发各阶段产品提交要求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手工样件试装</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工装样件试装</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小批量试装</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69" w:type="pct"/>
            <w:vMerge w:val="restart"/>
            <w:tcBorders>
              <w:top w:val="single" w:color="auto" w:sz="4" w:space="0"/>
              <w:left w:val="single" w:color="auto" w:sz="4" w:space="0"/>
              <w:bottom w:val="single" w:color="auto" w:sz="4" w:space="0"/>
              <w:right w:val="single" w:color="auto" w:sz="4" w:space="0"/>
            </w:tcBorders>
            <w:noWrap/>
            <w:textDirection w:val="tbRlV"/>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新 品 零 部 件</w:t>
            </w:r>
          </w:p>
        </w:tc>
        <w:tc>
          <w:tcPr>
            <w:tcW w:w="386" w:type="pct"/>
            <w:vMerge w:val="restar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乙方生产条件</w:t>
            </w:r>
          </w:p>
        </w:tc>
        <w:tc>
          <w:tcPr>
            <w:tcW w:w="515"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工装使用条件</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（工装齐备）</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（工装齐备）</w:t>
            </w:r>
          </w:p>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生产线完成</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（工装齐备）</w:t>
            </w:r>
          </w:p>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生产线完成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515"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手工修整</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允许</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经允许可以</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不允许</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strike/>
                <w:color w:val="000000"/>
                <w:kern w:val="0"/>
                <w:sz w:val="18"/>
                <w:szCs w:val="18"/>
              </w:rPr>
            </w:pPr>
            <w:r>
              <w:rPr>
                <w:rFonts w:hint="eastAsia" w:ascii="宋体" w:hAnsi="宋体" w:cs="宋体"/>
                <w:color w:val="000000"/>
                <w:kern w:val="0"/>
                <w:sz w:val="18"/>
                <w:szCs w:val="18"/>
              </w:rPr>
              <w:t>产品试验完成率</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问题解决率</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节点资料提交及时率</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95%以上</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95%以上</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95%以上</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样件合格率</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85%</w:t>
            </w:r>
          </w:p>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（不合格项目中不允许含关重尺寸及性能）</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（不合格项目中不允许含关重尺寸及性能）</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问题重复发生次数</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50" w:after="50" w:line="440" w:lineRule="exact"/>
              <w:jc w:val="left"/>
              <w:rPr>
                <w:rFonts w:ascii="宋体" w:hAnsi="宋体" w:cs="宋体"/>
                <w:color w:val="000000"/>
                <w:kern w:val="0"/>
                <w:sz w:val="18"/>
                <w:szCs w:val="18"/>
              </w:rPr>
            </w:pPr>
          </w:p>
        </w:tc>
        <w:tc>
          <w:tcPr>
            <w:tcW w:w="901" w:type="pct"/>
            <w:gridSpan w:val="2"/>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入库批次合格率</w:t>
            </w:r>
          </w:p>
        </w:tc>
        <w:tc>
          <w:tcPr>
            <w:tcW w:w="886"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41"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4"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19" w:type="pct"/>
            <w:tcBorders>
              <w:top w:val="single" w:color="auto" w:sz="4" w:space="0"/>
              <w:left w:val="single" w:color="auto" w:sz="4" w:space="0"/>
              <w:bottom w:val="single" w:color="auto" w:sz="4" w:space="0"/>
              <w:right w:val="single" w:color="auto" w:sz="4" w:space="0"/>
            </w:tcBorders>
          </w:tcPr>
          <w:p>
            <w:pPr>
              <w:widowControl/>
              <w:spacing w:before="50" w:after="50"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bl>
    <w:p>
      <w:pPr>
        <w:spacing w:before="50" w:after="50" w:line="440" w:lineRule="exact"/>
        <w:ind w:firstLine="480" w:firstLineChars="200"/>
        <w:rPr>
          <w:rFonts w:ascii="宋体" w:hAnsi="宋体"/>
          <w:color w:val="000000"/>
          <w:sz w:val="24"/>
          <w:szCs w:val="24"/>
        </w:rPr>
      </w:pPr>
      <w:r>
        <w:rPr>
          <w:rFonts w:hint="eastAsia" w:ascii="宋体" w:hAnsi="宋体"/>
          <w:color w:val="000000"/>
          <w:sz w:val="24"/>
          <w:szCs w:val="24"/>
        </w:rPr>
        <w:t>备注：</w:t>
      </w:r>
    </w:p>
    <w:p>
      <w:pPr>
        <w:pStyle w:val="17"/>
        <w:numPr>
          <w:ilvl w:val="0"/>
          <w:numId w:val="1"/>
        </w:numPr>
        <w:spacing w:before="50" w:after="50" w:line="440" w:lineRule="exact"/>
        <w:ind w:left="0" w:firstLine="480"/>
        <w:rPr>
          <w:rFonts w:ascii="宋体" w:hAnsi="宋体"/>
          <w:sz w:val="24"/>
          <w:szCs w:val="24"/>
        </w:rPr>
      </w:pPr>
      <w:r>
        <w:rPr>
          <w:rFonts w:hint="eastAsia" w:ascii="宋体" w:hAnsi="宋体"/>
          <w:sz w:val="24"/>
          <w:szCs w:val="24"/>
        </w:rPr>
        <w:t>括号内限于因开发日程延误等原因，与甲方经过协商调整过的事项；</w:t>
      </w:r>
    </w:p>
    <w:p>
      <w:pPr>
        <w:pStyle w:val="17"/>
        <w:numPr>
          <w:ilvl w:val="0"/>
          <w:numId w:val="1"/>
        </w:numPr>
        <w:spacing w:before="50" w:after="50" w:line="440" w:lineRule="exact"/>
        <w:ind w:left="0" w:firstLine="480"/>
        <w:rPr>
          <w:rFonts w:ascii="宋体" w:hAnsi="宋体"/>
          <w:sz w:val="24"/>
          <w:szCs w:val="24"/>
        </w:rPr>
      </w:pPr>
      <w:r>
        <w:rPr>
          <w:rFonts w:hint="eastAsia" w:ascii="宋体" w:hAnsi="宋体"/>
          <w:sz w:val="24"/>
          <w:szCs w:val="24"/>
        </w:rPr>
        <w:t>工装样件试装：由乙方提供符合要求的工装产品，在甲方生产线或外委设备生产厂家进行预验收生产线试装的工件。</w:t>
      </w:r>
    </w:p>
    <w:p>
      <w:pPr>
        <w:pStyle w:val="17"/>
        <w:numPr>
          <w:ilvl w:val="0"/>
          <w:numId w:val="1"/>
        </w:numPr>
        <w:spacing w:before="50" w:after="50" w:line="440" w:lineRule="exact"/>
        <w:ind w:left="0" w:firstLine="480"/>
        <w:rPr>
          <w:rFonts w:ascii="宋体" w:hAnsi="宋体"/>
          <w:color w:val="000000"/>
          <w:sz w:val="24"/>
          <w:szCs w:val="24"/>
        </w:rPr>
      </w:pPr>
      <w:r>
        <w:rPr>
          <w:rFonts w:hint="eastAsia" w:ascii="宋体" w:hAnsi="宋体"/>
          <w:color w:val="000000"/>
          <w:sz w:val="24"/>
          <w:szCs w:val="24"/>
        </w:rPr>
        <w:t>小批量试装：由乙方提供符合要求的工装产品，在甲方生产线试装</w:t>
      </w:r>
      <w:r>
        <w:rPr>
          <w:rFonts w:hint="eastAsia" w:ascii="宋体" w:hAnsi="宋体"/>
          <w:sz w:val="24"/>
          <w:szCs w:val="24"/>
        </w:rPr>
        <w:t>的工件。</w:t>
      </w:r>
    </w:p>
    <w:p>
      <w:pPr>
        <w:pStyle w:val="17"/>
        <w:numPr>
          <w:ilvl w:val="0"/>
          <w:numId w:val="1"/>
        </w:numPr>
        <w:spacing w:before="50" w:after="50" w:line="440" w:lineRule="exact"/>
        <w:ind w:left="0" w:firstLine="480"/>
        <w:rPr>
          <w:rFonts w:ascii="宋体" w:hAnsi="宋体"/>
          <w:color w:val="000000"/>
          <w:sz w:val="24"/>
          <w:szCs w:val="24"/>
        </w:rPr>
      </w:pPr>
      <w:r>
        <w:rPr>
          <w:rFonts w:hint="eastAsia" w:ascii="宋体" w:hAnsi="宋体"/>
          <w:color w:val="000000"/>
          <w:sz w:val="24"/>
          <w:szCs w:val="24"/>
        </w:rPr>
        <w:t>工装齐备：乙方提交产品所使用的模具、检具、夹具和设备齐全完整，符合产品生产和检验要求；</w:t>
      </w:r>
    </w:p>
    <w:p>
      <w:pPr>
        <w:pStyle w:val="17"/>
        <w:numPr>
          <w:ilvl w:val="0"/>
          <w:numId w:val="1"/>
        </w:numPr>
        <w:spacing w:before="50" w:after="50" w:line="440" w:lineRule="exact"/>
        <w:ind w:left="0" w:firstLine="480"/>
        <w:rPr>
          <w:rFonts w:ascii="宋体" w:hAnsi="宋体"/>
          <w:color w:val="000000"/>
          <w:sz w:val="24"/>
          <w:szCs w:val="24"/>
        </w:rPr>
      </w:pPr>
      <w:r>
        <w:rPr>
          <w:rFonts w:hint="eastAsia" w:ascii="宋体" w:hAnsi="宋体"/>
          <w:color w:val="000000"/>
          <w:sz w:val="24"/>
          <w:szCs w:val="24"/>
        </w:rPr>
        <w:t>生产线完成：指用于提交产品的专用或柔性生产线完成验收并投入使用；</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0.3</w:t>
      </w:r>
      <w:r>
        <w:rPr>
          <w:rFonts w:hint="eastAsia" w:ascii="宋体" w:hAnsi="宋体" w:cs="Arial"/>
          <w:color w:val="000000"/>
          <w:sz w:val="24"/>
          <w:szCs w:val="24"/>
        </w:rPr>
        <w:t>质量问题</w:t>
      </w:r>
      <w:r>
        <w:rPr>
          <w:rFonts w:ascii="宋体" w:hAnsi="宋体" w:cs="Arial"/>
          <w:color w:val="000000"/>
          <w:sz w:val="24"/>
          <w:szCs w:val="24"/>
        </w:rPr>
        <w:t>改善</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10.3.</w:t>
      </w:r>
      <w:r>
        <w:rPr>
          <w:rFonts w:hint="eastAsia" w:ascii="宋体" w:hAnsi="宋体" w:cs="Arial"/>
          <w:color w:val="000000"/>
          <w:sz w:val="24"/>
          <w:szCs w:val="24"/>
        </w:rPr>
        <w:t>1新品的质量问题将通过电子邮箱等方式反馈给乙方，要求乙方必须在甲方规定时间节点内提交有效的整改措施；</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10.3</w:t>
      </w:r>
      <w:r>
        <w:rPr>
          <w:rFonts w:hint="eastAsia" w:ascii="宋体" w:hAnsi="宋体" w:cs="Arial"/>
          <w:color w:val="000000"/>
          <w:sz w:val="24"/>
          <w:szCs w:val="24"/>
        </w:rPr>
        <w:t>.2乙方在接到问题反馈后三个工作日应递交整改计划，问题分析、临时措施、永久措施等必须按计划实施。最终整改完成时间最长不得超过1个月，特殊情况双方协商确定。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3</w:t>
      </w:r>
      <w:r>
        <w:rPr>
          <w:rFonts w:hint="eastAsia" w:ascii="宋体" w:hAnsi="宋体" w:cs="Arial"/>
          <w:color w:val="000000"/>
          <w:sz w:val="24"/>
          <w:szCs w:val="24"/>
        </w:rPr>
        <w:t>.2.1针对影响安全功能、关键功能的质量问题，或者批量质量问题，乙方在接到问题反馈后，需在24小时内到达问题现场，并采取遏制措施（包括紧急措施和临时措施），防止不良品的扩散。</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10.3</w:t>
      </w:r>
      <w:r>
        <w:rPr>
          <w:rFonts w:hint="eastAsia" w:ascii="宋体" w:hAnsi="宋体" w:cs="Arial"/>
          <w:color w:val="000000"/>
          <w:sz w:val="24"/>
          <w:szCs w:val="24"/>
        </w:rPr>
        <w:t>.3如果确认质量问题不是乙方责任，乙方可以申请撤销。</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3</w:t>
      </w:r>
      <w:r>
        <w:rPr>
          <w:rFonts w:hint="eastAsia" w:ascii="宋体" w:hAnsi="宋体" w:cs="Arial"/>
          <w:color w:val="000000"/>
          <w:sz w:val="24"/>
          <w:szCs w:val="24"/>
        </w:rPr>
        <w:t>.</w:t>
      </w:r>
      <w:r>
        <w:rPr>
          <w:rFonts w:ascii="宋体" w:hAnsi="宋体" w:cs="Arial"/>
          <w:color w:val="000000"/>
          <w:sz w:val="24"/>
          <w:szCs w:val="24"/>
        </w:rPr>
        <w:t>4</w:t>
      </w:r>
      <w:r>
        <w:rPr>
          <w:rFonts w:hint="eastAsia" w:ascii="宋体" w:hAnsi="宋体" w:cs="Arial"/>
          <w:color w:val="000000"/>
          <w:sz w:val="24"/>
          <w:szCs w:val="24"/>
        </w:rPr>
        <w:t>对于不能满足要求的零部件或改善后的零件或设计变更后的零部件，乙方必须对零部件实施100%检验。</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3</w:t>
      </w:r>
      <w:r>
        <w:rPr>
          <w:rFonts w:hint="eastAsia" w:ascii="宋体" w:hAnsi="宋体" w:cs="Arial"/>
          <w:color w:val="000000"/>
          <w:sz w:val="24"/>
          <w:szCs w:val="24"/>
        </w:rPr>
        <w:t>.</w:t>
      </w:r>
      <w:r>
        <w:rPr>
          <w:rFonts w:ascii="宋体" w:hAnsi="宋体" w:cs="Arial"/>
          <w:color w:val="000000"/>
          <w:sz w:val="24"/>
          <w:szCs w:val="24"/>
        </w:rPr>
        <w:t>5</w:t>
      </w:r>
      <w:r>
        <w:rPr>
          <w:rFonts w:hint="eastAsia" w:ascii="宋体" w:hAnsi="宋体" w:cs="Arial"/>
          <w:color w:val="000000"/>
          <w:sz w:val="24"/>
          <w:szCs w:val="24"/>
        </w:rPr>
        <w:t>当乙方对质量问题改善不积极，或改善过程严重缓慢的，或整改计划内无效果的，甲方有权将采用问题升级的流程实施反馈，必要时实行二轨开发。</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3</w:t>
      </w:r>
      <w:r>
        <w:rPr>
          <w:rFonts w:hint="eastAsia" w:ascii="宋体" w:hAnsi="宋体" w:cs="Arial"/>
          <w:color w:val="000000"/>
          <w:sz w:val="24"/>
          <w:szCs w:val="24"/>
        </w:rPr>
        <w:t>.</w:t>
      </w:r>
      <w:r>
        <w:rPr>
          <w:rFonts w:ascii="宋体" w:hAnsi="宋体" w:cs="Arial"/>
          <w:color w:val="000000"/>
          <w:sz w:val="24"/>
          <w:szCs w:val="24"/>
        </w:rPr>
        <w:t>6</w:t>
      </w:r>
      <w:r>
        <w:rPr>
          <w:rFonts w:hint="eastAsia" w:ascii="宋体" w:hAnsi="宋体" w:cs="Arial"/>
          <w:color w:val="000000"/>
          <w:sz w:val="24"/>
          <w:szCs w:val="24"/>
        </w:rPr>
        <w:t>乙方指定专门人员（项目负责人）负责与甲方对项目开发进度、项目开发问题、质量问题改进及DVP试验验证情况进行沟通，对以上过程进行动态跟踪，并有向甲方报告的义务。</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10.4不合格品</w:t>
      </w:r>
      <w:r>
        <w:rPr>
          <w:rFonts w:ascii="宋体" w:hAnsi="宋体" w:cs="Arial"/>
          <w:color w:val="000000"/>
          <w:sz w:val="24"/>
          <w:szCs w:val="24"/>
        </w:rPr>
        <w:t>的处理</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w:t>
      </w:r>
      <w:r>
        <w:rPr>
          <w:rFonts w:hint="eastAsia" w:ascii="宋体" w:hAnsi="宋体" w:cs="Arial"/>
          <w:color w:val="000000"/>
          <w:sz w:val="24"/>
          <w:szCs w:val="24"/>
        </w:rPr>
        <w:t>.4.1</w:t>
      </w:r>
      <w:r>
        <w:rPr>
          <w:rFonts w:hint="eastAsia" w:ascii="宋体" w:hAnsi="宋体" w:cs="Arial"/>
          <w:color w:val="000000"/>
          <w:sz w:val="24"/>
          <w:szCs w:val="24"/>
        </w:rPr>
        <w:tab/>
      </w:r>
      <w:r>
        <w:rPr>
          <w:rFonts w:hint="eastAsia" w:ascii="宋体" w:hAnsi="宋体" w:cs="Arial"/>
          <w:color w:val="000000"/>
          <w:sz w:val="24"/>
          <w:szCs w:val="24"/>
        </w:rPr>
        <w:t>乙方提供的产品如在甲方入库抽查时被判为不合格，甲方有权拒绝接受乙方的产品，同时针对预期整改完成及多次送样不合格的进行相应的处罚。而因甲方装车（机）急需，需要乙方到甲方现场全检、返工，乙方应在接受到通知后24小时内到达甲方进行全检、返工；</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 xml:space="preserve">如甲方按照约定代为检验或处理的，工时由甲方核算。 </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w:t>
      </w:r>
      <w:r>
        <w:rPr>
          <w:rFonts w:hint="eastAsia" w:ascii="宋体" w:hAnsi="宋体" w:cs="Arial"/>
          <w:color w:val="000000"/>
          <w:sz w:val="24"/>
          <w:szCs w:val="24"/>
        </w:rPr>
        <w:t>.4.2</w:t>
      </w:r>
      <w:r>
        <w:rPr>
          <w:rFonts w:hint="eastAsia" w:ascii="宋体" w:hAnsi="宋体" w:cs="Arial"/>
          <w:color w:val="000000"/>
          <w:sz w:val="24"/>
          <w:szCs w:val="24"/>
        </w:rPr>
        <w:tab/>
      </w:r>
      <w:r>
        <w:rPr>
          <w:rFonts w:hint="eastAsia" w:ascii="宋体" w:hAnsi="宋体" w:cs="Arial"/>
          <w:color w:val="000000"/>
          <w:sz w:val="24"/>
          <w:szCs w:val="24"/>
        </w:rPr>
        <w:t>乙方所供产品因产品质量问题，给甲方造成损失，由乙方承担。在生产、用户使用过程中停止或生产报废，需要返修，其停产损失费用、废品损失（含牵连报废损失）和返修费用，由甲方核算。</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w:t>
      </w:r>
      <w:r>
        <w:rPr>
          <w:rFonts w:hint="eastAsia" w:ascii="宋体" w:hAnsi="宋体" w:cs="Arial"/>
          <w:color w:val="000000"/>
          <w:sz w:val="24"/>
          <w:szCs w:val="24"/>
        </w:rPr>
        <w:t>.4.3</w:t>
      </w:r>
      <w:r>
        <w:rPr>
          <w:rFonts w:hint="eastAsia" w:ascii="宋体" w:hAnsi="宋体" w:cs="Arial"/>
          <w:color w:val="000000"/>
          <w:sz w:val="24"/>
          <w:szCs w:val="24"/>
        </w:rPr>
        <w:tab/>
      </w:r>
      <w:r>
        <w:rPr>
          <w:rFonts w:hint="eastAsia" w:ascii="宋体" w:hAnsi="宋体" w:cs="Arial"/>
          <w:color w:val="000000"/>
          <w:sz w:val="24"/>
          <w:szCs w:val="24"/>
        </w:rPr>
        <w:t>因乙方提供的物料出现混装、印刷错误（有隐患）、物料与标识不符、包装外观破损、变形等有质量隐患的不合格，甲方有权拒收并退回乙方，所造成的甲方订单交期影响以及运输成本全部由乙方承担。</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w:t>
      </w:r>
      <w:r>
        <w:rPr>
          <w:rFonts w:hint="eastAsia" w:ascii="宋体" w:hAnsi="宋体" w:cs="Arial"/>
          <w:color w:val="000000"/>
          <w:sz w:val="24"/>
          <w:szCs w:val="24"/>
        </w:rPr>
        <w:t>.4.4</w:t>
      </w:r>
      <w:r>
        <w:rPr>
          <w:rFonts w:hint="eastAsia" w:ascii="宋体" w:hAnsi="宋体" w:cs="Arial"/>
          <w:color w:val="000000"/>
          <w:sz w:val="24"/>
          <w:szCs w:val="24"/>
        </w:rPr>
        <w:tab/>
      </w:r>
      <w:r>
        <w:rPr>
          <w:rFonts w:hint="eastAsia" w:ascii="宋体" w:hAnsi="宋体" w:cs="Arial"/>
          <w:color w:val="000000"/>
          <w:sz w:val="24"/>
          <w:szCs w:val="24"/>
        </w:rPr>
        <w:t>当乙方所供产品质量出现异常或存在质量隐患，甲方有权对乙方产品进行封存，并打永久性报废标识，封存后造成的停产、转产、返工等可计算损失的由甲方核算乙方承担，乙方并向甲方支付由此造成的相应损失。</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0</w:t>
      </w:r>
      <w:r>
        <w:rPr>
          <w:rFonts w:hint="eastAsia" w:ascii="宋体" w:hAnsi="宋体" w:cs="Arial"/>
          <w:color w:val="000000"/>
          <w:sz w:val="24"/>
          <w:szCs w:val="24"/>
        </w:rPr>
        <w:t>.5 检具</w:t>
      </w:r>
      <w:r>
        <w:rPr>
          <w:rFonts w:ascii="宋体" w:hAnsi="宋体" w:cs="Arial"/>
          <w:color w:val="000000"/>
          <w:sz w:val="24"/>
          <w:szCs w:val="24"/>
        </w:rPr>
        <w:t>质</w:t>
      </w:r>
      <w:r>
        <w:rPr>
          <w:rFonts w:hint="eastAsia" w:ascii="宋体" w:hAnsi="宋体" w:cs="Arial"/>
          <w:color w:val="000000"/>
          <w:sz w:val="24"/>
          <w:szCs w:val="24"/>
        </w:rPr>
        <w:t>量</w:t>
      </w:r>
      <w:r>
        <w:rPr>
          <w:rFonts w:ascii="宋体" w:hAnsi="宋体" w:cs="Arial"/>
          <w:color w:val="000000"/>
          <w:sz w:val="24"/>
          <w:szCs w:val="24"/>
        </w:rPr>
        <w:t>要求</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10.5.1</w:t>
      </w:r>
      <w:r>
        <w:rPr>
          <w:rFonts w:hint="eastAsia" w:ascii="宋体" w:hAnsi="宋体" w:cs="Arial"/>
          <w:color w:val="000000"/>
          <w:sz w:val="24"/>
          <w:szCs w:val="24"/>
        </w:rPr>
        <w:t>乙方检具应满足甲方检具技术规范的要求，检具方案、检具认可必须获得甲方正式书面认可报告。</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10.5.2</w:t>
      </w:r>
      <w:r>
        <w:rPr>
          <w:rFonts w:hint="eastAsia" w:ascii="宋体" w:hAnsi="宋体" w:cs="Arial"/>
          <w:color w:val="000000"/>
          <w:sz w:val="24"/>
          <w:szCs w:val="24"/>
        </w:rPr>
        <w:t>乙方应该确保完成的检具满足甲乙双方确认的有关检具技术要求，如数模、图纸等，检具的验收方法由甲乙双方共同确认，并在后续送样前进行检测。乙方须使用CMM（三坐标测量机）和零部件专用夹具，用其检测样件工装和生产工装制造的首件。</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6</w:t>
      </w:r>
      <w:r>
        <w:rPr>
          <w:rFonts w:hint="eastAsia" w:ascii="宋体" w:hAnsi="宋体" w:cs="Arial"/>
          <w:color w:val="000000"/>
          <w:sz w:val="24"/>
          <w:szCs w:val="24"/>
        </w:rPr>
        <w:t>可追溯</w:t>
      </w:r>
      <w:r>
        <w:rPr>
          <w:rFonts w:ascii="宋体" w:hAnsi="宋体" w:cs="Arial"/>
          <w:color w:val="000000"/>
          <w:sz w:val="24"/>
          <w:szCs w:val="24"/>
        </w:rPr>
        <w:t>性要求</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为使产品的批量容易追踪，乙方应根据双方另行商定的办法，明确区分生产批次号并能进行切实管理；乙方应严格执行甲方制定的永久性产品管理标识，永久性产品管理标识可参见甲方相应的技术标准。同时</w:t>
      </w:r>
      <w:r>
        <w:rPr>
          <w:rFonts w:ascii="宋体" w:hAnsi="宋体" w:cs="Arial"/>
          <w:color w:val="000000"/>
          <w:sz w:val="24"/>
          <w:szCs w:val="24"/>
        </w:rPr>
        <w:t>，</w:t>
      </w:r>
      <w:r>
        <w:rPr>
          <w:rFonts w:hint="eastAsia" w:ascii="宋体" w:hAnsi="宋体" w:cs="Arial"/>
          <w:color w:val="000000"/>
          <w:sz w:val="24"/>
          <w:szCs w:val="24"/>
        </w:rPr>
        <w:t>乙方应建立内部产品可追溯性机制，同时识别甲方的永久性标识要求，可追溯性项目应该在APQP过程中确定。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7</w:t>
      </w:r>
      <w:r>
        <w:rPr>
          <w:rFonts w:hint="eastAsia" w:ascii="宋体" w:hAnsi="宋体" w:cs="Arial"/>
          <w:color w:val="000000"/>
          <w:sz w:val="24"/>
          <w:szCs w:val="24"/>
        </w:rPr>
        <w:t>二级</w:t>
      </w:r>
      <w:r>
        <w:rPr>
          <w:rFonts w:ascii="宋体" w:hAnsi="宋体" w:cs="Arial"/>
          <w:color w:val="000000"/>
          <w:sz w:val="24"/>
          <w:szCs w:val="24"/>
        </w:rPr>
        <w:t>供应商管理</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7</w:t>
      </w:r>
      <w:r>
        <w:rPr>
          <w:rFonts w:hint="eastAsia" w:ascii="宋体" w:hAnsi="宋体" w:cs="Arial"/>
          <w:color w:val="000000"/>
          <w:sz w:val="24"/>
          <w:szCs w:val="24"/>
        </w:rPr>
        <w:t>.1按照IATF16949要求，乙方应对关重二级供方按照IATF16949进行质量体系开发工作，一般二级供方按照ISO9001进行质量体系开发工作。在新产品开发过程中，乙方有责任对关重二级供方的零部件开发实施APQP、PPAP等活动，乙方对二级供方存在管理职责，当二级供方出现任何非甲方原因导致的问题时由乙方负全部责任。</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8</w:t>
      </w:r>
      <w:r>
        <w:rPr>
          <w:rFonts w:hint="eastAsia" w:ascii="宋体" w:hAnsi="宋体" w:cs="Arial"/>
          <w:color w:val="000000"/>
          <w:sz w:val="24"/>
          <w:szCs w:val="24"/>
        </w:rPr>
        <w:t>生产件</w:t>
      </w:r>
      <w:r>
        <w:rPr>
          <w:rFonts w:ascii="宋体" w:hAnsi="宋体" w:cs="Arial"/>
          <w:color w:val="000000"/>
          <w:sz w:val="24"/>
          <w:szCs w:val="24"/>
        </w:rPr>
        <w:t>批准</w:t>
      </w:r>
      <w:r>
        <w:rPr>
          <w:rFonts w:hint="eastAsia" w:ascii="宋体" w:hAnsi="宋体" w:cs="Arial"/>
          <w:color w:val="000000"/>
          <w:sz w:val="24"/>
          <w:szCs w:val="24"/>
        </w:rPr>
        <w:t>控制</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8</w:t>
      </w:r>
      <w:r>
        <w:rPr>
          <w:rFonts w:hint="eastAsia" w:ascii="宋体" w:hAnsi="宋体" w:cs="Arial"/>
          <w:color w:val="000000"/>
          <w:sz w:val="24"/>
          <w:szCs w:val="24"/>
        </w:rPr>
        <w:t>.1乙方应按照甲方《生产件批准控制程序》的要求，以及确定的PPAP等级和提交物明细，分阶段及时提交PPAP文件输出物，确保文件得到实施，且工装样件和量产产品的制造工艺必须与提交甲方PPAP批准的制造工艺一致，任何偏差必须事先申报并报甲方批准。</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10.</w:t>
      </w:r>
      <w:r>
        <w:rPr>
          <w:rFonts w:ascii="宋体" w:hAnsi="宋体" w:cs="Arial"/>
          <w:color w:val="000000"/>
          <w:sz w:val="24"/>
          <w:szCs w:val="24"/>
        </w:rPr>
        <w:t>8</w:t>
      </w:r>
      <w:r>
        <w:rPr>
          <w:rFonts w:hint="eastAsia" w:ascii="宋体" w:hAnsi="宋体" w:cs="Arial"/>
          <w:color w:val="000000"/>
          <w:sz w:val="24"/>
          <w:szCs w:val="24"/>
        </w:rPr>
        <w:t>.2对APQP、PPAP、零部件开发工作记录等文件，应保存至产品（或产品组）供货期间加一个日历年，除非甲方书面同意放弃。</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十</w:t>
      </w:r>
      <w:r>
        <w:rPr>
          <w:rFonts w:hint="eastAsia" w:ascii="宋体" w:hAnsi="宋体"/>
          <w:b/>
          <w:bCs/>
          <w:color w:val="000000"/>
          <w:sz w:val="24"/>
          <w:szCs w:val="24"/>
        </w:rPr>
        <w:t>一</w:t>
      </w:r>
      <w:r>
        <w:rPr>
          <w:rFonts w:ascii="宋体" w:hAnsi="宋体"/>
          <w:b/>
          <w:bCs/>
          <w:color w:val="000000"/>
          <w:sz w:val="24"/>
          <w:szCs w:val="24"/>
        </w:rPr>
        <w:t>条</w:t>
      </w:r>
      <w:r>
        <w:rPr>
          <w:rFonts w:hint="eastAsia" w:ascii="宋体" w:hAnsi="宋体"/>
          <w:b/>
          <w:bCs/>
          <w:color w:val="000000"/>
          <w:sz w:val="24"/>
          <w:szCs w:val="24"/>
        </w:rPr>
        <w:t xml:space="preserve">  产品开发保密条款</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11.1 乙方保证，在本合同项下汽车零部件产品开发期间，保守因履行本合同而知晓的任何商业秘密或非公开信息。</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11.2 在本合同项下产品开发生产过程中，乙方的部分工作需由第三方完成的，必须事先取得甲方的书面许可，并要求第三方承担与乙方同等的保密义务。</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11.3 合同双方应当以书面形式要求其相关工作人员承担相应的保密义务，并经常检查其（包括乙方委托的第三方）相关工作人员履行保密义务的情况。</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11.4 本合同项下的保密义务，延续至甲乙双方业务关系终止后十年。此责任不因本合同的未生效或者终止而免除。</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十</w:t>
      </w:r>
      <w:r>
        <w:rPr>
          <w:rFonts w:hint="eastAsia" w:ascii="宋体" w:hAnsi="宋体"/>
          <w:b/>
          <w:bCs/>
          <w:color w:val="000000"/>
          <w:sz w:val="24"/>
          <w:szCs w:val="24"/>
        </w:rPr>
        <w:t>二条 转让禁止</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2</w:t>
      </w:r>
      <w:r>
        <w:rPr>
          <w:rFonts w:hint="eastAsia" w:ascii="宋体" w:hAnsi="宋体" w:cs="Arial"/>
          <w:color w:val="000000"/>
          <w:sz w:val="24"/>
          <w:szCs w:val="24"/>
        </w:rPr>
        <w:t>.1 未经甲方事先书面同意，乙方不能将本合同或者由本合同约定的任何权利或者义务转让、转移、分包给任何第三方。如经甲方事先书面同意，乙方将合同项下的部分或全部权利义务转包或分包给第三方的，并不免除或减轻乙方在本合同项下应承担的义务和责任。乙方应为承担转包或分包义务的第三方承担连带责任。</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2</w:t>
      </w:r>
      <w:r>
        <w:rPr>
          <w:rFonts w:hint="eastAsia" w:ascii="宋体" w:hAnsi="宋体" w:cs="Arial"/>
          <w:color w:val="000000"/>
          <w:sz w:val="24"/>
          <w:szCs w:val="24"/>
        </w:rPr>
        <w:t>.2 乙方保证：乙方不得利用执行本合同过程中所获取</w:t>
      </w:r>
      <w:bookmarkStart w:id="8" w:name="OLE_LINK1"/>
      <w:bookmarkStart w:id="9" w:name="OLE_LINK2"/>
      <w:r>
        <w:rPr>
          <w:rFonts w:hint="eastAsia" w:ascii="宋体" w:hAnsi="宋体" w:cs="Arial"/>
          <w:color w:val="000000"/>
          <w:sz w:val="24"/>
          <w:szCs w:val="24"/>
        </w:rPr>
        <w:t>的</w:t>
      </w:r>
      <w:bookmarkEnd w:id="8"/>
      <w:bookmarkEnd w:id="9"/>
      <w:r>
        <w:rPr>
          <w:rFonts w:hint="eastAsia" w:ascii="宋体" w:hAnsi="宋体" w:cs="Arial"/>
          <w:color w:val="000000"/>
          <w:sz w:val="24"/>
          <w:szCs w:val="24"/>
        </w:rPr>
        <w:t>相关设备（包括但不限于模、检、夹具）、软件、图纸或其他技术资料为任何第三方开发同类产品，不生产同类产品向甲方及甲方关联方以外任何第三方销售。</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2</w:t>
      </w:r>
      <w:r>
        <w:rPr>
          <w:rFonts w:hint="eastAsia" w:ascii="宋体" w:hAnsi="宋体" w:cs="Arial"/>
          <w:color w:val="000000"/>
          <w:sz w:val="24"/>
          <w:szCs w:val="24"/>
        </w:rPr>
        <w:t>.3 在本合同及以后可能签订的《外协产品买卖合同》有效期满之日起十五天内，乙方向甲方移交本合同项下的全部技术资料及目录，不得留置处理，作废、淘汰产品的技术资料，由乙方移交甲方处理。</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12.4</w:t>
      </w:r>
      <w:r>
        <w:rPr>
          <w:rFonts w:ascii="宋体" w:hAnsi="宋体" w:cs="Arial"/>
          <w:color w:val="000000"/>
          <w:sz w:val="24"/>
          <w:szCs w:val="24"/>
        </w:rPr>
        <w:t xml:space="preserve"> </w:t>
      </w:r>
      <w:r>
        <w:rPr>
          <w:rFonts w:hint="eastAsia" w:ascii="宋体" w:hAnsi="宋体" w:cs="Arial"/>
          <w:color w:val="000000"/>
          <w:sz w:val="24"/>
          <w:szCs w:val="24"/>
        </w:rPr>
        <w:t>乙方保证在本合同项下的产品及包装物上浇铸或者打印甲方指定的永久性标识和生产时间。未经甲方书面许可，乙方不得向任何单位或者个人出售本合同项下的产品。</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12.5关联方指直接或间接地被一方控制、或控制该方或与该方共同受一方控制的法人实体或分支机构。“控制”是直接或间接地持有一个法人实体50%以上的股权、股份权益，或虽持有不满足前述条件，但其所持有的股权、股份权益拥有足够的表决权影响该公司的经营决策。</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十</w:t>
      </w:r>
      <w:r>
        <w:rPr>
          <w:rFonts w:hint="eastAsia" w:ascii="宋体" w:hAnsi="宋体"/>
          <w:b/>
          <w:bCs/>
          <w:color w:val="000000"/>
          <w:sz w:val="24"/>
          <w:szCs w:val="24"/>
        </w:rPr>
        <w:t>三</w:t>
      </w:r>
      <w:r>
        <w:rPr>
          <w:rFonts w:ascii="宋体" w:hAnsi="宋体"/>
          <w:b/>
          <w:bCs/>
          <w:color w:val="000000"/>
          <w:sz w:val="24"/>
          <w:szCs w:val="24"/>
        </w:rPr>
        <w:t>条</w:t>
      </w:r>
      <w:r>
        <w:rPr>
          <w:rFonts w:hint="eastAsia" w:ascii="宋体" w:hAnsi="宋体"/>
          <w:b/>
          <w:bCs/>
          <w:color w:val="000000"/>
          <w:sz w:val="24"/>
          <w:szCs w:val="24"/>
        </w:rPr>
        <w:t xml:space="preserve">  买卖合同的订立义务</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《外协产品买卖合同》应当在本合同项下新产品由甲方最终验收合格并确定量产产品买卖价格后订立。</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十</w:t>
      </w:r>
      <w:r>
        <w:rPr>
          <w:rFonts w:hint="eastAsia" w:ascii="宋体" w:hAnsi="宋体"/>
          <w:b/>
          <w:bCs/>
          <w:color w:val="000000"/>
          <w:sz w:val="24"/>
          <w:szCs w:val="24"/>
        </w:rPr>
        <w:t>四</w:t>
      </w:r>
      <w:r>
        <w:rPr>
          <w:rFonts w:ascii="宋体" w:hAnsi="宋体"/>
          <w:b/>
          <w:bCs/>
          <w:color w:val="000000"/>
          <w:sz w:val="24"/>
          <w:szCs w:val="24"/>
        </w:rPr>
        <w:t>条</w:t>
      </w:r>
      <w:r>
        <w:rPr>
          <w:rFonts w:hint="eastAsia" w:ascii="宋体" w:hAnsi="宋体"/>
          <w:b/>
          <w:bCs/>
          <w:color w:val="000000"/>
          <w:sz w:val="24"/>
          <w:szCs w:val="24"/>
        </w:rPr>
        <w:t xml:space="preserve">  违约责任</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.1乙方在每一节点的截止日期后的三天内未提交相关资料的，从第四天起，按延期天数每天向甲方支付违约金2000元；延期交付超过10天的，甲方有权解除本合同并有权要求赔偿损失10万元。</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.2乙方未按时交付本合同项下的新产品样品时，按延期天数每天向甲方支付违约金5000元，按日累进计算；延期交付超过10天的，甲方可以解除本合同并有权要求赔偿损失30万元。</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.3 如果乙方违反本合同第8条、第1</w:t>
      </w:r>
      <w:r>
        <w:rPr>
          <w:rFonts w:ascii="宋体" w:hAnsi="宋体" w:cs="Arial"/>
          <w:color w:val="000000"/>
          <w:sz w:val="24"/>
          <w:szCs w:val="24"/>
        </w:rPr>
        <w:t>1</w:t>
      </w:r>
      <w:r>
        <w:rPr>
          <w:rFonts w:hint="eastAsia" w:ascii="宋体" w:hAnsi="宋体" w:cs="Arial"/>
          <w:color w:val="000000"/>
          <w:sz w:val="24"/>
          <w:szCs w:val="24"/>
        </w:rPr>
        <w:t>条和第1</w:t>
      </w:r>
      <w:r>
        <w:rPr>
          <w:rFonts w:ascii="宋体" w:hAnsi="宋体" w:cs="Arial"/>
          <w:color w:val="000000"/>
          <w:sz w:val="24"/>
          <w:szCs w:val="24"/>
        </w:rPr>
        <w:t>2</w:t>
      </w:r>
      <w:r>
        <w:rPr>
          <w:rFonts w:hint="eastAsia" w:ascii="宋体" w:hAnsi="宋体" w:cs="Arial"/>
          <w:color w:val="000000"/>
          <w:sz w:val="24"/>
          <w:szCs w:val="24"/>
        </w:rPr>
        <w:t>条中任何一项的约定，甲方有权解除本合同并有权要求乙方支付50万元的违约金。</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4如乙方违反本合同第9条模、检、夹具产权的归属任何一项约定，甲方有权解除本合同并有权要求乙方支付50万元违约金或按照甲方已支付开发费用的30%向甲方支付违约金（以较高者为准）。违约金不足以弥补甲方损失的，甲方有权继续追偿。</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.5如</w:t>
      </w:r>
      <w:r>
        <w:rPr>
          <w:rFonts w:ascii="宋体" w:hAnsi="宋体" w:cs="Arial"/>
          <w:color w:val="000000"/>
          <w:sz w:val="24"/>
          <w:szCs w:val="24"/>
        </w:rPr>
        <w:t>乙方违反本合同</w:t>
      </w:r>
      <w:r>
        <w:rPr>
          <w:rFonts w:hint="eastAsia" w:ascii="宋体" w:hAnsi="宋体" w:cs="Arial"/>
          <w:color w:val="000000"/>
          <w:sz w:val="24"/>
          <w:szCs w:val="24"/>
        </w:rPr>
        <w:t>相关约定经</w:t>
      </w:r>
      <w:r>
        <w:rPr>
          <w:rFonts w:ascii="宋体" w:hAnsi="宋体" w:cs="Arial"/>
          <w:color w:val="000000"/>
          <w:sz w:val="24"/>
          <w:szCs w:val="24"/>
        </w:rPr>
        <w:t>甲方</w:t>
      </w:r>
      <w:r>
        <w:rPr>
          <w:rFonts w:hint="eastAsia" w:ascii="宋体" w:hAnsi="宋体" w:cs="Arial"/>
          <w:color w:val="000000"/>
          <w:sz w:val="24"/>
          <w:szCs w:val="24"/>
        </w:rPr>
        <w:t>发现乙方提供的试验报告存在弄虚作假（包含未开展检验/试验就直接提交检验/试验数据或报告；篡改报告数据、内容等作假行为），甲方有权要求乙方承担由此造成的损失，出现第一次，甲方有权对乙方索赔</w:t>
      </w:r>
      <w:r>
        <w:rPr>
          <w:rFonts w:ascii="宋体" w:hAnsi="宋体" w:cs="Arial"/>
          <w:color w:val="000000"/>
          <w:sz w:val="24"/>
          <w:szCs w:val="24"/>
        </w:rPr>
        <w:t>10</w:t>
      </w:r>
      <w:r>
        <w:rPr>
          <w:rFonts w:hint="eastAsia" w:ascii="宋体" w:hAnsi="宋体" w:cs="Arial"/>
          <w:color w:val="000000"/>
          <w:sz w:val="24"/>
          <w:szCs w:val="24"/>
        </w:rPr>
        <w:t>万</w:t>
      </w:r>
      <w:r>
        <w:rPr>
          <w:rFonts w:ascii="宋体" w:hAnsi="宋体" w:cs="Arial"/>
          <w:color w:val="000000"/>
          <w:sz w:val="24"/>
          <w:szCs w:val="24"/>
        </w:rPr>
        <w:t>-50</w:t>
      </w:r>
      <w:r>
        <w:rPr>
          <w:rFonts w:hint="eastAsia" w:ascii="宋体" w:hAnsi="宋体" w:cs="Arial"/>
          <w:color w:val="000000"/>
          <w:sz w:val="24"/>
          <w:szCs w:val="24"/>
        </w:rPr>
        <w:t>万元的违约金，后续每再发生一次按2的倍数递增支付违约金，诚信次数在甲方全集团内累计。同时甲方有权单方解除本合同，无责任取消乙方的开发资格。</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14.6如乙方违反本合同</w:t>
      </w:r>
      <w:r>
        <w:rPr>
          <w:rFonts w:ascii="宋体" w:hAnsi="宋体" w:cs="Arial"/>
          <w:color w:val="000000"/>
          <w:sz w:val="24"/>
          <w:szCs w:val="24"/>
        </w:rPr>
        <w:t>第</w:t>
      </w:r>
      <w:r>
        <w:rPr>
          <w:rFonts w:hint="eastAsia" w:ascii="宋体" w:hAnsi="宋体" w:cs="Arial"/>
          <w:color w:val="000000"/>
          <w:sz w:val="24"/>
          <w:szCs w:val="24"/>
        </w:rPr>
        <w:t>1</w:t>
      </w:r>
      <w:r>
        <w:rPr>
          <w:rFonts w:ascii="宋体" w:hAnsi="宋体" w:cs="Arial"/>
          <w:color w:val="000000"/>
          <w:sz w:val="24"/>
          <w:szCs w:val="24"/>
        </w:rPr>
        <w:t>0</w:t>
      </w:r>
      <w:r>
        <w:rPr>
          <w:rFonts w:hint="eastAsia" w:ascii="宋体" w:hAnsi="宋体" w:cs="Arial"/>
          <w:color w:val="000000"/>
          <w:sz w:val="24"/>
          <w:szCs w:val="24"/>
        </w:rPr>
        <w:t>.1条“变更、异常时的管理”</w:t>
      </w:r>
      <w:r>
        <w:rPr>
          <w:rFonts w:ascii="宋体" w:hAnsi="宋体" w:cs="Arial"/>
          <w:color w:val="000000"/>
          <w:sz w:val="24"/>
          <w:szCs w:val="24"/>
        </w:rPr>
        <w:t>任</w:t>
      </w:r>
      <w:r>
        <w:rPr>
          <w:rFonts w:hint="eastAsia" w:ascii="宋体" w:hAnsi="宋体" w:cs="Arial"/>
          <w:color w:val="000000"/>
          <w:sz w:val="24"/>
          <w:szCs w:val="24"/>
        </w:rPr>
        <w:t>何</w:t>
      </w:r>
      <w:r>
        <w:rPr>
          <w:rFonts w:ascii="宋体" w:hAnsi="宋体" w:cs="Arial"/>
          <w:color w:val="000000"/>
          <w:sz w:val="24"/>
          <w:szCs w:val="24"/>
        </w:rPr>
        <w:t>一项约定</w:t>
      </w:r>
      <w:r>
        <w:rPr>
          <w:rFonts w:hint="eastAsia" w:ascii="宋体" w:hAnsi="宋体" w:cs="Arial"/>
          <w:color w:val="000000"/>
          <w:sz w:val="24"/>
          <w:szCs w:val="24"/>
        </w:rPr>
        <w:t>且隐瞒不通报，乙方产品将被视同批量不合格进行处理，甲方有权停止乙方的供货，且有权要求乙方承担由此造成的损失；对于乙方的产品，甲方将派第三方机构实施驻厂检验，所有检验费用由乙方承担。但预先已取得甲方认可，对产品质量无任何不良影响的，不在此限。如果对市场造成影响，则甲方有权向乙方追加索赔。</w:t>
      </w:r>
    </w:p>
    <w:p>
      <w:pPr>
        <w:spacing w:before="156" w:beforeLines="50" w:after="156" w:afterLines="50" w:line="440" w:lineRule="exact"/>
        <w:ind w:firstLine="480" w:firstLineChars="200"/>
        <w:rPr>
          <w:rFonts w:ascii="宋体" w:hAnsi="宋体"/>
          <w:b/>
          <w:color w:val="000000"/>
          <w:sz w:val="22"/>
          <w:szCs w:val="24"/>
        </w:rPr>
      </w:pPr>
      <w:r>
        <w:rPr>
          <w:rFonts w:ascii="宋体" w:hAnsi="宋体" w:cs="Arial"/>
          <w:color w:val="000000"/>
          <w:sz w:val="24"/>
          <w:szCs w:val="24"/>
        </w:rPr>
        <w:t xml:space="preserve">14.7 </w:t>
      </w:r>
      <w:r>
        <w:rPr>
          <w:rFonts w:hint="eastAsia" w:ascii="宋体" w:hAnsi="宋体" w:cs="Arial"/>
          <w:color w:val="000000"/>
          <w:sz w:val="24"/>
          <w:szCs w:val="24"/>
        </w:rPr>
        <w:t>如</w:t>
      </w:r>
      <w:r>
        <w:rPr>
          <w:rFonts w:ascii="宋体" w:hAnsi="宋体" w:cs="Arial"/>
          <w:color w:val="000000"/>
          <w:sz w:val="24"/>
          <w:szCs w:val="24"/>
        </w:rPr>
        <w:t>乙方违反本合同第</w:t>
      </w:r>
      <w:r>
        <w:rPr>
          <w:rFonts w:hint="eastAsia" w:ascii="宋体" w:hAnsi="宋体" w:cs="Arial"/>
          <w:color w:val="000000"/>
          <w:sz w:val="24"/>
          <w:szCs w:val="24"/>
        </w:rPr>
        <w:t>10.2条“开发过程质量目标</w:t>
      </w:r>
      <w:r>
        <w:rPr>
          <w:rFonts w:hint="eastAsia" w:ascii="宋体" w:hAnsi="宋体"/>
          <w:b/>
          <w:color w:val="000000"/>
          <w:sz w:val="22"/>
          <w:szCs w:val="24"/>
        </w:rPr>
        <w:t>”</w:t>
      </w:r>
      <w:r>
        <w:rPr>
          <w:rFonts w:hint="eastAsia" w:ascii="宋体" w:hAnsi="宋体" w:cs="Arial"/>
          <w:color w:val="000000"/>
          <w:sz w:val="24"/>
          <w:szCs w:val="24"/>
        </w:rPr>
        <w:t>任何</w:t>
      </w:r>
      <w:r>
        <w:rPr>
          <w:rFonts w:ascii="宋体" w:hAnsi="宋体" w:cs="Arial"/>
          <w:color w:val="000000"/>
          <w:sz w:val="24"/>
          <w:szCs w:val="24"/>
        </w:rPr>
        <w:t>一项指标，</w:t>
      </w:r>
      <w:r>
        <w:rPr>
          <w:rFonts w:hint="eastAsia" w:ascii="宋体" w:hAnsi="宋体" w:cs="Arial"/>
          <w:color w:val="000000"/>
          <w:sz w:val="24"/>
          <w:szCs w:val="24"/>
        </w:rPr>
        <w:t>未达</w:t>
      </w:r>
      <w:r>
        <w:rPr>
          <w:rFonts w:ascii="宋体" w:hAnsi="宋体" w:cs="Arial"/>
          <w:color w:val="000000"/>
          <w:sz w:val="24"/>
          <w:szCs w:val="24"/>
        </w:rPr>
        <w:t>到甲方</w:t>
      </w:r>
      <w:r>
        <w:rPr>
          <w:rFonts w:hint="eastAsia" w:ascii="宋体" w:hAnsi="宋体" w:cs="Arial"/>
          <w:color w:val="000000"/>
          <w:sz w:val="24"/>
          <w:szCs w:val="24"/>
        </w:rPr>
        <w:t>质量目标要求，乙方应对产品实施100%检验，并提交自检报告，若产品在装车（机）现场出现不合格，甲方有权将同批次的产品全部报废处理。</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 xml:space="preserve">14.8 </w:t>
      </w:r>
      <w:r>
        <w:rPr>
          <w:rFonts w:hint="eastAsia" w:ascii="宋体" w:hAnsi="宋体" w:cs="Arial"/>
          <w:color w:val="000000"/>
          <w:sz w:val="24"/>
          <w:szCs w:val="24"/>
        </w:rPr>
        <w:t>如</w:t>
      </w:r>
      <w:r>
        <w:rPr>
          <w:rFonts w:ascii="宋体" w:hAnsi="宋体" w:cs="Arial"/>
          <w:color w:val="000000"/>
          <w:sz w:val="24"/>
          <w:szCs w:val="24"/>
        </w:rPr>
        <w:t>乙方违反本合同</w:t>
      </w:r>
      <w:r>
        <w:rPr>
          <w:rFonts w:hint="eastAsia" w:ascii="宋体" w:hAnsi="宋体" w:cs="Arial"/>
          <w:color w:val="000000"/>
          <w:sz w:val="24"/>
          <w:szCs w:val="24"/>
        </w:rPr>
        <w:t>10.3条“质量问题</w:t>
      </w:r>
      <w:r>
        <w:rPr>
          <w:rFonts w:ascii="宋体" w:hAnsi="宋体" w:cs="Arial"/>
          <w:color w:val="000000"/>
          <w:sz w:val="24"/>
          <w:szCs w:val="24"/>
        </w:rPr>
        <w:t>改善</w:t>
      </w:r>
      <w:r>
        <w:rPr>
          <w:rFonts w:hint="eastAsia" w:ascii="宋体" w:hAnsi="宋体" w:cs="Arial"/>
          <w:color w:val="000000"/>
          <w:sz w:val="24"/>
          <w:szCs w:val="24"/>
        </w:rPr>
        <w:t>”任何</w:t>
      </w:r>
      <w:r>
        <w:rPr>
          <w:rFonts w:ascii="宋体" w:hAnsi="宋体" w:cs="Arial"/>
          <w:color w:val="000000"/>
          <w:sz w:val="24"/>
          <w:szCs w:val="24"/>
        </w:rPr>
        <w:t>一项</w:t>
      </w:r>
      <w:r>
        <w:rPr>
          <w:rFonts w:hint="eastAsia" w:ascii="宋体" w:hAnsi="宋体" w:cs="Arial"/>
          <w:color w:val="000000"/>
          <w:sz w:val="24"/>
          <w:szCs w:val="24"/>
        </w:rPr>
        <w:t>约</w:t>
      </w:r>
      <w:r>
        <w:rPr>
          <w:rFonts w:ascii="宋体" w:hAnsi="宋体" w:cs="Arial"/>
          <w:color w:val="000000"/>
          <w:sz w:val="24"/>
          <w:szCs w:val="24"/>
        </w:rPr>
        <w:t>定</w:t>
      </w:r>
      <w:r>
        <w:rPr>
          <w:rFonts w:hint="eastAsia" w:ascii="宋体" w:hAnsi="宋体" w:cs="Arial"/>
          <w:color w:val="000000"/>
          <w:sz w:val="24"/>
          <w:szCs w:val="24"/>
        </w:rPr>
        <w:t>且延期超过三个工作日的，乙方应在三个工作日内由其副总经理及以上级别人员至甲方处进行说明并提交改进措施报告，直至使问题得以解决。同时甲方有权要求乙方承担由此造成的损失。</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4</w:t>
      </w:r>
      <w:r>
        <w:rPr>
          <w:rFonts w:hint="eastAsia" w:ascii="宋体" w:hAnsi="宋体" w:cs="Arial"/>
          <w:color w:val="000000"/>
          <w:sz w:val="24"/>
          <w:szCs w:val="24"/>
        </w:rPr>
        <w:t>.</w:t>
      </w:r>
      <w:r>
        <w:rPr>
          <w:rFonts w:ascii="宋体" w:hAnsi="宋体" w:cs="Arial"/>
          <w:color w:val="000000"/>
          <w:sz w:val="24"/>
          <w:szCs w:val="24"/>
        </w:rPr>
        <w:t>9</w:t>
      </w:r>
      <w:r>
        <w:rPr>
          <w:rFonts w:hint="eastAsia" w:ascii="宋体" w:hAnsi="宋体" w:cs="Arial"/>
          <w:color w:val="000000"/>
          <w:sz w:val="24"/>
          <w:szCs w:val="24"/>
        </w:rPr>
        <w:t>如乙方违反本合同</w:t>
      </w:r>
      <w:r>
        <w:rPr>
          <w:rFonts w:ascii="宋体" w:hAnsi="宋体" w:cs="Arial"/>
          <w:color w:val="000000"/>
          <w:sz w:val="24"/>
          <w:szCs w:val="24"/>
        </w:rPr>
        <w:t>第</w:t>
      </w:r>
      <w:r>
        <w:rPr>
          <w:rFonts w:hint="eastAsia" w:ascii="宋体" w:hAnsi="宋体" w:cs="Arial"/>
          <w:color w:val="000000"/>
          <w:sz w:val="24"/>
          <w:szCs w:val="24"/>
        </w:rPr>
        <w:t>1</w:t>
      </w:r>
      <w:r>
        <w:rPr>
          <w:rFonts w:ascii="宋体" w:hAnsi="宋体" w:cs="Arial"/>
          <w:color w:val="000000"/>
          <w:sz w:val="24"/>
          <w:szCs w:val="24"/>
        </w:rPr>
        <w:t>0</w:t>
      </w:r>
      <w:r>
        <w:rPr>
          <w:rFonts w:hint="eastAsia" w:ascii="宋体" w:hAnsi="宋体" w:cs="Arial"/>
          <w:color w:val="000000"/>
          <w:sz w:val="24"/>
          <w:szCs w:val="24"/>
        </w:rPr>
        <w:t>.4条“不合格品处理”</w:t>
      </w:r>
      <w:r>
        <w:rPr>
          <w:rFonts w:ascii="宋体" w:hAnsi="宋体" w:cs="Arial"/>
          <w:color w:val="000000"/>
          <w:sz w:val="24"/>
          <w:szCs w:val="24"/>
        </w:rPr>
        <w:t>任一项</w:t>
      </w:r>
      <w:r>
        <w:rPr>
          <w:rFonts w:hint="eastAsia" w:ascii="宋体" w:hAnsi="宋体" w:cs="Arial"/>
          <w:color w:val="000000"/>
          <w:sz w:val="24"/>
          <w:szCs w:val="24"/>
        </w:rPr>
        <w:t>约定，乙方首次提供的产品如因乙方单方面质量问题出现不合格时，乙方需在甲方的限期内完成整改，同时甲方有权要求乙方承担由此造成的损失；累计3次（不含3次）以上不合格的，甲方有权单方解除本合同，取消乙方的开发资格，并进行降级处理。</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14</w:t>
      </w:r>
      <w:r>
        <w:rPr>
          <w:rFonts w:ascii="宋体" w:hAnsi="宋体" w:cs="Arial"/>
          <w:color w:val="000000"/>
          <w:sz w:val="24"/>
          <w:szCs w:val="24"/>
        </w:rPr>
        <w:t xml:space="preserve">.10 </w:t>
      </w:r>
      <w:r>
        <w:rPr>
          <w:rFonts w:hint="eastAsia" w:ascii="宋体" w:hAnsi="宋体" w:cs="Arial"/>
          <w:color w:val="000000"/>
          <w:sz w:val="24"/>
          <w:szCs w:val="24"/>
        </w:rPr>
        <w:t>如</w:t>
      </w:r>
      <w:r>
        <w:rPr>
          <w:rFonts w:ascii="宋体" w:hAnsi="宋体" w:cs="Arial"/>
          <w:color w:val="000000"/>
          <w:sz w:val="24"/>
          <w:szCs w:val="24"/>
        </w:rPr>
        <w:t>乙方违反本合同第</w:t>
      </w:r>
      <w:r>
        <w:rPr>
          <w:rFonts w:hint="eastAsia" w:ascii="宋体" w:hAnsi="宋体" w:cs="Arial"/>
          <w:color w:val="000000"/>
          <w:sz w:val="24"/>
          <w:szCs w:val="24"/>
        </w:rPr>
        <w:t>10.6条的</w:t>
      </w:r>
      <w:r>
        <w:rPr>
          <w:rFonts w:ascii="宋体" w:hAnsi="宋体" w:cs="Arial"/>
          <w:color w:val="000000"/>
          <w:sz w:val="24"/>
          <w:szCs w:val="24"/>
        </w:rPr>
        <w:t>约定</w:t>
      </w:r>
      <w:r>
        <w:rPr>
          <w:rFonts w:hint="eastAsia" w:ascii="宋体" w:hAnsi="宋体" w:cs="Arial"/>
          <w:color w:val="000000"/>
          <w:sz w:val="24"/>
          <w:szCs w:val="24"/>
        </w:rPr>
        <w:t>，未能实现产品可追溯性管理，甲方有权要求乙方承担由此造成的损失。</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14.11</w:t>
      </w:r>
      <w:r>
        <w:rPr>
          <w:rFonts w:hint="eastAsia" w:ascii="宋体" w:hAnsi="宋体" w:cs="Arial"/>
          <w:color w:val="000000"/>
          <w:sz w:val="24"/>
          <w:szCs w:val="24"/>
        </w:rPr>
        <w:t>如乙方违反本合同</w:t>
      </w:r>
      <w:r>
        <w:rPr>
          <w:rFonts w:ascii="宋体" w:hAnsi="宋体" w:cs="Arial"/>
          <w:color w:val="000000"/>
          <w:sz w:val="24"/>
          <w:szCs w:val="24"/>
        </w:rPr>
        <w:t>第</w:t>
      </w:r>
      <w:r>
        <w:rPr>
          <w:rFonts w:hint="eastAsia" w:ascii="宋体" w:hAnsi="宋体" w:cs="Arial"/>
          <w:color w:val="000000"/>
          <w:sz w:val="24"/>
          <w:szCs w:val="24"/>
        </w:rPr>
        <w:t>10.8条生产件</w:t>
      </w:r>
      <w:r>
        <w:rPr>
          <w:rFonts w:ascii="宋体" w:hAnsi="宋体" w:cs="Arial"/>
          <w:color w:val="000000"/>
          <w:sz w:val="24"/>
          <w:szCs w:val="24"/>
        </w:rPr>
        <w:t>批准</w:t>
      </w:r>
      <w:r>
        <w:rPr>
          <w:rFonts w:hint="eastAsia" w:ascii="宋体" w:hAnsi="宋体" w:cs="Arial"/>
          <w:color w:val="000000"/>
          <w:sz w:val="24"/>
          <w:szCs w:val="24"/>
        </w:rPr>
        <w:t>控制</w:t>
      </w:r>
      <w:r>
        <w:rPr>
          <w:rFonts w:ascii="宋体" w:hAnsi="宋体" w:cs="Arial"/>
          <w:color w:val="000000"/>
          <w:sz w:val="24"/>
          <w:szCs w:val="24"/>
        </w:rPr>
        <w:t>的约定</w:t>
      </w:r>
      <w:r>
        <w:rPr>
          <w:rFonts w:hint="eastAsia" w:ascii="宋体" w:hAnsi="宋体" w:cs="Arial"/>
          <w:color w:val="000000"/>
          <w:sz w:val="24"/>
          <w:szCs w:val="24"/>
        </w:rPr>
        <w:t>，一经查实，甲方有权要求乙方承担由此造成的损失，同时甲方有权单方解除本合同，取消乙方的开发资格。</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14.12乙方提交的本合同项下零部件新产品经两次检测不合格时甲方有权解除合同,乙方应退还甲方已经支付的费用。若因此给甲方造成损失的，乙方还应向甲方承担赔偿责任。</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14.13任何一方违反本合同的规定，均应当向对方赔偿损失。赔偿损失的范围包括但不限于直接经济损失和可以预见的间接经济损失。本协议第十四条约定所有乙方应承担的违约责任若不足以弥补甲方损失的，甲方均有权进行进一步追偿。</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第十五</w:t>
      </w:r>
      <w:r>
        <w:rPr>
          <w:rFonts w:ascii="宋体" w:hAnsi="宋体"/>
          <w:b/>
          <w:bCs/>
          <w:color w:val="000000"/>
          <w:sz w:val="24"/>
          <w:szCs w:val="24"/>
        </w:rPr>
        <w:t>条</w:t>
      </w:r>
      <w:r>
        <w:rPr>
          <w:rFonts w:hint="eastAsia" w:ascii="宋体" w:hAnsi="宋体"/>
          <w:b/>
          <w:bCs/>
          <w:color w:val="000000"/>
          <w:sz w:val="24"/>
          <w:szCs w:val="24"/>
        </w:rPr>
        <w:t xml:space="preserve">  不可抗力</w:t>
      </w:r>
    </w:p>
    <w:p>
      <w:pPr>
        <w:adjustRightInd w:val="0"/>
        <w:snapToGrid w:val="0"/>
        <w:spacing w:before="78" w:beforeLines="25" w:after="78" w:afterLines="25" w:line="440" w:lineRule="exact"/>
        <w:ind w:right="420" w:rightChars="200"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5</w:t>
      </w:r>
      <w:r>
        <w:rPr>
          <w:rFonts w:hint="eastAsia" w:ascii="宋体" w:hAnsi="宋体" w:cs="Arial"/>
          <w:color w:val="000000"/>
          <w:sz w:val="24"/>
          <w:szCs w:val="24"/>
        </w:rPr>
        <w:t>.1 “不可抗力”指为国际商业惯例普遍认为是不可抗力的事件，包括火灾、洪水、传染病、战争、政府行为以及其他无法控制的因素。</w:t>
      </w:r>
    </w:p>
    <w:p>
      <w:pPr>
        <w:adjustRightInd w:val="0"/>
        <w:snapToGrid w:val="0"/>
        <w:spacing w:before="78" w:beforeLines="25" w:after="78" w:afterLines="25" w:line="440" w:lineRule="exact"/>
        <w:ind w:right="420" w:rightChars="200" w:firstLine="480" w:firstLineChars="200"/>
        <w:rPr>
          <w:rFonts w:ascii="宋体" w:hAnsi="宋体" w:cs="Arial"/>
          <w:color w:val="000000"/>
          <w:sz w:val="24"/>
          <w:szCs w:val="24"/>
        </w:rPr>
      </w:pPr>
      <w:r>
        <w:rPr>
          <w:rFonts w:hint="eastAsia" w:ascii="宋体" w:hAnsi="宋体" w:cs="Arial"/>
          <w:color w:val="000000"/>
          <w:sz w:val="24"/>
          <w:szCs w:val="24"/>
        </w:rPr>
        <w:t>15.2协议一方因不可抗力未能履行协议的，对于在不可抗力的影响存续期间不履行其义务不承担违约责任。遭受不可抗力的协议一方应当不迟于获悉不可抗力后10日内书面通知协议另一方，并有义务证明所发生的不可抗力事故、该事故持续的时间以及该事故对履行本合同的影响。甲乙双方都应当尽最大努力，以减轻不可抗力事件造成的损失。因不可抗力所引起的问题应当通过友好协商适当解决。</w:t>
      </w:r>
    </w:p>
    <w:p>
      <w:pPr>
        <w:adjustRightInd w:val="0"/>
        <w:snapToGrid w:val="0"/>
        <w:spacing w:before="78" w:beforeLines="25" w:after="78" w:afterLines="25" w:line="440" w:lineRule="exact"/>
        <w:ind w:right="420" w:rightChars="200" w:firstLine="480" w:firstLineChars="200"/>
        <w:rPr>
          <w:rFonts w:ascii="宋体" w:hAnsi="宋体" w:cs="Arial"/>
          <w:sz w:val="24"/>
          <w:szCs w:val="24"/>
        </w:rPr>
      </w:pPr>
      <w:r>
        <w:rPr>
          <w:rFonts w:hint="eastAsia" w:ascii="宋体" w:hAnsi="宋体" w:cs="Arial"/>
          <w:sz w:val="24"/>
          <w:szCs w:val="24"/>
        </w:rPr>
        <w:t>15.3 遭受不可抗力方必须积极有采取必要措施减少损失的责任，如果因遭受不可抗力方未积极采取措施而致使损失进一步扩大，遭受不可抗力方就扩大损失部分承担责任。</w:t>
      </w:r>
    </w:p>
    <w:p>
      <w:pPr>
        <w:adjustRightInd w:val="0"/>
        <w:snapToGrid w:val="0"/>
        <w:spacing w:before="78" w:beforeLines="25" w:after="78" w:afterLines="25" w:line="440" w:lineRule="exact"/>
        <w:ind w:right="420" w:rightChars="200" w:firstLine="480" w:firstLineChars="200"/>
        <w:rPr>
          <w:rFonts w:ascii="宋体" w:hAnsi="宋体" w:cs="Arial"/>
          <w:sz w:val="24"/>
          <w:szCs w:val="24"/>
        </w:rPr>
      </w:pPr>
      <w:r>
        <w:rPr>
          <w:rFonts w:hint="eastAsia" w:ascii="宋体" w:hAnsi="宋体" w:cs="Arial"/>
          <w:sz w:val="24"/>
          <w:szCs w:val="24"/>
        </w:rPr>
        <w:t>15.4 如果不可抗力持续的时间未超过三个月，则在解决不可抗力因素后，遭受不可抗力方应按照正常速度履行其合同义务，但根据法律规定及合同上下文约定本合同已经终止的情况除外；如果不可抗力持续的时间超过三个月且/或由于不可抗力合同义务履行成为不可能，则合同任何一方有权在向另一方发出书面通知的前提下解除本合同。</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第十六</w:t>
      </w:r>
      <w:r>
        <w:rPr>
          <w:rFonts w:ascii="宋体" w:hAnsi="宋体"/>
          <w:b/>
          <w:bCs/>
          <w:color w:val="000000"/>
          <w:sz w:val="24"/>
          <w:szCs w:val="24"/>
        </w:rPr>
        <w:t>条</w:t>
      </w:r>
      <w:r>
        <w:rPr>
          <w:rFonts w:hint="eastAsia" w:ascii="宋体" w:hAnsi="宋体"/>
          <w:b/>
          <w:bCs/>
          <w:color w:val="000000"/>
          <w:sz w:val="24"/>
          <w:szCs w:val="24"/>
        </w:rPr>
        <w:t xml:space="preserve">  诚信自律特别条款</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6</w:t>
      </w:r>
      <w:r>
        <w:rPr>
          <w:rFonts w:hint="eastAsia" w:ascii="宋体" w:hAnsi="宋体" w:cs="Arial"/>
          <w:color w:val="000000"/>
          <w:sz w:val="24"/>
          <w:szCs w:val="24"/>
        </w:rPr>
        <w:t>．1双方承诺在业务往来期间严格遵守以下约定：</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6</w:t>
      </w:r>
      <w:r>
        <w:rPr>
          <w:rFonts w:hint="eastAsia" w:ascii="宋体" w:hAnsi="宋体" w:cs="Arial"/>
          <w:color w:val="000000"/>
          <w:sz w:val="24"/>
          <w:szCs w:val="24"/>
        </w:rPr>
        <w:t>．1.1不以任何名义向对方（包括其参股、控股、实际控制或其他关联关系的单位，下同）人员（包括其亲属或其他利益关系人等，下同）输送各种财产性和非财产性利益或好处。</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6</w:t>
      </w:r>
      <w:r>
        <w:rPr>
          <w:rFonts w:hint="eastAsia" w:ascii="宋体" w:hAnsi="宋体" w:cs="Arial"/>
          <w:color w:val="000000"/>
          <w:sz w:val="24"/>
          <w:szCs w:val="24"/>
        </w:rPr>
        <w:t>.1.2不得与对方人员开展经营活动，相互有亲属关系的人员应主动回避。在双方合作终止后</w:t>
      </w:r>
      <w:r>
        <w:rPr>
          <w:rFonts w:ascii="宋体" w:hAnsi="宋体" w:cs="Arial"/>
          <w:color w:val="000000"/>
          <w:sz w:val="24"/>
          <w:szCs w:val="24"/>
        </w:rPr>
        <w:t>2年内未经对方同意不得接受对方人员任职或提供服务。</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16.2如违反前述约定，违约方应按合同金额（非固定金额的合同按照实际已发生的金额，下同）的30%向守约方支付违约金；无法确定合同金额的，应向守约方支付违约金30万元。构成犯罪的，则送交司法机关追究其刑事责任。</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16.3一方发现对方人员存在违反前述诚信自律条款行为的，应向对方合规部门或司法机关举报。</w:t>
      </w:r>
    </w:p>
    <w:p>
      <w:pPr>
        <w:spacing w:before="156" w:beforeLines="50" w:after="156" w:afterLines="50" w:line="440" w:lineRule="exact"/>
        <w:ind w:firstLine="480" w:firstLineChars="200"/>
        <w:rPr>
          <w:rFonts w:ascii="宋体" w:hAnsi="宋体" w:cs="Arial"/>
          <w:color w:val="000000"/>
          <w:sz w:val="24"/>
          <w:szCs w:val="24"/>
        </w:rPr>
      </w:pPr>
      <w:r>
        <w:rPr>
          <w:rFonts w:ascii="宋体" w:hAnsi="宋体" w:cs="Arial"/>
          <w:color w:val="000000"/>
          <w:sz w:val="24"/>
          <w:szCs w:val="24"/>
        </w:rPr>
        <w:t>16.4合同的变更、转让、终止或被撤销、无效不影响前述诚信自律条款的效力。</w:t>
      </w:r>
    </w:p>
    <w:p>
      <w:pPr>
        <w:spacing w:before="156" w:beforeLines="50" w:after="156" w:afterLines="50" w:line="440" w:lineRule="exact"/>
        <w:rPr>
          <w:rFonts w:ascii="宋体" w:hAnsi="宋体" w:cs="Arial"/>
          <w:color w:val="000000"/>
          <w:sz w:val="24"/>
          <w:szCs w:val="24"/>
        </w:rPr>
      </w:pPr>
      <w:r>
        <w:rPr>
          <w:rFonts w:hint="eastAsia" w:ascii="宋体" w:hAnsi="宋体"/>
          <w:b/>
          <w:bCs/>
          <w:color w:val="000000"/>
          <w:sz w:val="24"/>
          <w:szCs w:val="24"/>
        </w:rPr>
        <w:t>第十七</w:t>
      </w:r>
      <w:r>
        <w:rPr>
          <w:rFonts w:ascii="宋体" w:hAnsi="宋体"/>
          <w:b/>
          <w:bCs/>
          <w:color w:val="000000"/>
          <w:sz w:val="24"/>
          <w:szCs w:val="24"/>
        </w:rPr>
        <w:t>条</w:t>
      </w:r>
      <w:r>
        <w:rPr>
          <w:rFonts w:hint="eastAsia" w:ascii="宋体" w:hAnsi="宋体"/>
          <w:b/>
          <w:bCs/>
          <w:color w:val="000000"/>
          <w:sz w:val="24"/>
          <w:szCs w:val="24"/>
        </w:rPr>
        <w:t xml:space="preserve">  通知送达条款</w:t>
      </w:r>
    </w:p>
    <w:p>
      <w:pPr>
        <w:snapToGrid w:val="0"/>
        <w:spacing w:before="78" w:beforeLines="25" w:after="78" w:afterLines="25" w:line="440" w:lineRule="exact"/>
        <w:ind w:firstLine="480"/>
        <w:rPr>
          <w:rFonts w:ascii="宋体" w:hAnsi="宋体" w:cs="Arial"/>
          <w:sz w:val="24"/>
        </w:rPr>
      </w:pPr>
      <w:r>
        <w:rPr>
          <w:rFonts w:hint="eastAsia" w:ascii="宋体" w:hAnsi="宋体" w:cs="Arial"/>
          <w:sz w:val="24"/>
        </w:rPr>
        <w:t>17.1甲、乙双方关于本合同履行及相关事宜的通知，应当按照合同尾部（签署栏）载明的联络方式发出。当面递交的，自联系人签字确认之时视为送达；快递或挂号信形式寄送的，自发出之日起满五日视为送达；通过电子邮件发送的，发出之时视为送达。任何一方的通讯方式发生变更的，应于变更后三个工作日内通知对方，否则自行承担一切不利后果。</w:t>
      </w:r>
    </w:p>
    <w:p>
      <w:pPr>
        <w:snapToGrid w:val="0"/>
        <w:spacing w:before="78" w:beforeLines="25" w:after="78" w:afterLines="25" w:line="440" w:lineRule="exact"/>
        <w:ind w:firstLine="480"/>
        <w:rPr>
          <w:rFonts w:ascii="宋体" w:hAnsi="宋体" w:cs="Arial"/>
          <w:sz w:val="24"/>
        </w:rPr>
      </w:pPr>
      <w:r>
        <w:rPr>
          <w:rFonts w:hint="eastAsia" w:ascii="宋体" w:hAnsi="宋体" w:cs="Arial"/>
          <w:sz w:val="24"/>
        </w:rPr>
        <w:t>17.2乙方确认合同尾部（签署栏）载明地址为其有效通讯地址，甲方以及法院、仲裁机构以快递方式向对方该地址发出书面函件及诉讼、仲裁文书的，自发出日（邮戳）次日起满5日视为收到。乙方拒绝签收的不影响送达效力。乙方对合同尾部（签署栏）载明地址之有效性及真实性负责，如法院或仲裁机构按照该送达地址进行送达的，即使送达不成，亦具有推定送达的法律后果。送达不成情形，包括但不限于收件人身份不明、无人签收、地址不详、地址搬迁、长期未自取、电子数据被退回、拒收等。</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第十八</w:t>
      </w:r>
      <w:r>
        <w:rPr>
          <w:rFonts w:ascii="宋体" w:hAnsi="宋体"/>
          <w:b/>
          <w:bCs/>
          <w:color w:val="000000"/>
          <w:sz w:val="24"/>
          <w:szCs w:val="24"/>
        </w:rPr>
        <w:t>条</w:t>
      </w:r>
      <w:r>
        <w:rPr>
          <w:rFonts w:hint="eastAsia" w:ascii="宋体" w:hAnsi="宋体"/>
          <w:b/>
          <w:bCs/>
          <w:color w:val="000000"/>
          <w:sz w:val="24"/>
          <w:szCs w:val="24"/>
        </w:rPr>
        <w:t xml:space="preserve">  法律适用及争议解决</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本合同适用中华人民共和国法律。因签订、履行本合同所发生的一切争议，由双方友好协商解决；协商不成的，双方同意交由甲方所在地有管辖权的人民法院诉讼解决。</w:t>
      </w:r>
    </w:p>
    <w:p>
      <w:pPr>
        <w:spacing w:before="156" w:beforeLines="50" w:after="156" w:afterLines="50" w:line="440" w:lineRule="exact"/>
        <w:rPr>
          <w:rFonts w:ascii="宋体" w:hAnsi="宋体"/>
          <w:b/>
          <w:bCs/>
          <w:color w:val="000000"/>
          <w:sz w:val="24"/>
          <w:szCs w:val="24"/>
        </w:rPr>
      </w:pPr>
      <w:r>
        <w:rPr>
          <w:rFonts w:hint="eastAsia" w:ascii="宋体" w:hAnsi="宋体"/>
          <w:b/>
          <w:bCs/>
          <w:color w:val="000000"/>
          <w:sz w:val="24"/>
          <w:szCs w:val="24"/>
        </w:rPr>
        <w:t>第</w:t>
      </w:r>
      <w:r>
        <w:rPr>
          <w:rFonts w:ascii="宋体" w:hAnsi="宋体"/>
          <w:b/>
          <w:bCs/>
          <w:color w:val="000000"/>
          <w:sz w:val="24"/>
          <w:szCs w:val="24"/>
        </w:rPr>
        <w:t>十</w:t>
      </w:r>
      <w:r>
        <w:rPr>
          <w:rFonts w:hint="eastAsia" w:ascii="宋体" w:hAnsi="宋体"/>
          <w:b/>
          <w:bCs/>
          <w:color w:val="000000"/>
          <w:sz w:val="24"/>
          <w:szCs w:val="24"/>
        </w:rPr>
        <w:t>九</w:t>
      </w:r>
      <w:r>
        <w:rPr>
          <w:rFonts w:ascii="宋体" w:hAnsi="宋体"/>
          <w:b/>
          <w:bCs/>
          <w:color w:val="000000"/>
          <w:sz w:val="24"/>
          <w:szCs w:val="24"/>
        </w:rPr>
        <w:t>条</w:t>
      </w:r>
      <w:r>
        <w:rPr>
          <w:rFonts w:hint="eastAsia" w:ascii="宋体" w:hAnsi="宋体"/>
          <w:b/>
          <w:bCs/>
          <w:color w:val="000000"/>
          <w:sz w:val="24"/>
          <w:szCs w:val="24"/>
        </w:rPr>
        <w:t xml:space="preserve"> 其他</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19.1本合同自甲乙双方授权代表签字并加盖公司合同专用章或公章之日起生效。未尽事宜，双方应当及时协商解决。对本合同的任何修改，均应当由甲乙双方用书面形式做出。</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19.2 合同履行中，一方向另一方发出的任何与本合同有关的书面文件，均须有加盖合同专用章或公章，或者有授权代表签字。</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19.3乙方除遵守相关保密义务外，对本合同项下所有与本次商务合作信息有关的对外宣传均需提前与甲方进行协商确认。原则上所有涉密信息均不得对外宣传，但对非主要涉密信息乙方确需作为官方宣传内容的，应提前与甲方协商发布内容或方案，在获得甲方书面同意后方可执行，否则，乙方应向甲方支付合同总金额（或开口合同实际已发生总金额）30%的违约金，上述违约金不足以弥补甲方损失的，甲方有权继续追偿。</w:t>
      </w:r>
    </w:p>
    <w:p>
      <w:pPr>
        <w:spacing w:before="156" w:beforeLines="50" w:after="156" w:afterLines="50" w:line="440" w:lineRule="exact"/>
        <w:ind w:firstLine="480" w:firstLineChars="200"/>
        <w:rPr>
          <w:rFonts w:ascii="宋体" w:hAnsi="宋体" w:cs="Arial"/>
          <w:color w:val="000000"/>
          <w:sz w:val="24"/>
          <w:szCs w:val="24"/>
        </w:rPr>
      </w:pPr>
      <w:r>
        <w:rPr>
          <w:rFonts w:hint="eastAsia" w:ascii="宋体" w:hAnsi="宋体" w:cs="Arial"/>
          <w:color w:val="000000"/>
          <w:sz w:val="24"/>
          <w:szCs w:val="24"/>
        </w:rPr>
        <w:t>19.4本合同一式【</w:t>
      </w:r>
      <w:r>
        <w:rPr>
          <w:rFonts w:ascii="宋体" w:hAnsi="宋体" w:cs="Arial"/>
          <w:color w:val="000000"/>
          <w:sz w:val="24"/>
          <w:szCs w:val="24"/>
        </w:rPr>
        <w:t>4</w:t>
      </w:r>
      <w:r>
        <w:rPr>
          <w:rFonts w:hint="eastAsia" w:ascii="宋体" w:hAnsi="宋体" w:cs="Arial"/>
          <w:color w:val="000000"/>
          <w:sz w:val="24"/>
          <w:szCs w:val="24"/>
        </w:rPr>
        <w:t>】份，甲方执【</w:t>
      </w:r>
      <w:r>
        <w:rPr>
          <w:rFonts w:ascii="宋体" w:hAnsi="宋体" w:cs="Arial"/>
          <w:color w:val="000000"/>
          <w:sz w:val="24"/>
          <w:szCs w:val="24"/>
        </w:rPr>
        <w:t>3</w:t>
      </w:r>
      <w:r>
        <w:rPr>
          <w:rFonts w:hint="eastAsia" w:ascii="宋体" w:hAnsi="宋体" w:cs="Arial"/>
          <w:color w:val="000000"/>
          <w:sz w:val="24"/>
          <w:szCs w:val="24"/>
        </w:rPr>
        <w:t>】份，乙方执【</w:t>
      </w:r>
      <w:r>
        <w:rPr>
          <w:rFonts w:ascii="宋体" w:hAnsi="宋体" w:cs="Arial"/>
          <w:color w:val="000000"/>
          <w:sz w:val="24"/>
          <w:szCs w:val="24"/>
        </w:rPr>
        <w:t>1</w:t>
      </w:r>
      <w:r>
        <w:rPr>
          <w:rFonts w:hint="eastAsia" w:ascii="宋体" w:hAnsi="宋体" w:cs="Arial"/>
          <w:color w:val="000000"/>
          <w:sz w:val="24"/>
          <w:szCs w:val="24"/>
        </w:rPr>
        <w:t>】份，均具有同等法律效力。本合同附件与主合同不一致的，以本合同为准。</w:t>
      </w:r>
    </w:p>
    <w:p>
      <w:pPr>
        <w:spacing w:before="156" w:beforeLines="50" w:after="156" w:afterLines="50" w:line="440" w:lineRule="exact"/>
        <w:rPr>
          <w:rFonts w:ascii="宋体" w:hAnsi="宋体" w:cs="Arial"/>
          <w:b/>
          <w:sz w:val="24"/>
          <w:szCs w:val="24"/>
        </w:rPr>
      </w:pPr>
      <w:r>
        <w:rPr>
          <w:rFonts w:hint="eastAsia" w:ascii="宋体" w:hAnsi="宋体" w:cs="Arial"/>
          <w:b/>
          <w:sz w:val="24"/>
          <w:szCs w:val="24"/>
        </w:rPr>
        <w:t>第二十条  模、检、夹具清单（根据技术方案V9.1）</w:t>
      </w:r>
    </w:p>
    <w:tbl>
      <w:tblPr>
        <w:tblStyle w:val="8"/>
        <w:tblW w:w="10624" w:type="dxa"/>
        <w:jc w:val="center"/>
        <w:tblLayout w:type="autofit"/>
        <w:tblCellMar>
          <w:top w:w="0" w:type="dxa"/>
          <w:left w:w="108" w:type="dxa"/>
          <w:bottom w:w="0" w:type="dxa"/>
          <w:right w:w="108" w:type="dxa"/>
        </w:tblCellMar>
      </w:tblPr>
      <w:tblGrid>
        <w:gridCol w:w="919"/>
        <w:gridCol w:w="2531"/>
        <w:gridCol w:w="910"/>
        <w:gridCol w:w="1033"/>
        <w:gridCol w:w="2867"/>
        <w:gridCol w:w="1668"/>
        <w:gridCol w:w="696"/>
      </w:tblGrid>
      <w:tr>
        <w:tblPrEx>
          <w:tblCellMar>
            <w:top w:w="0" w:type="dxa"/>
            <w:left w:w="108" w:type="dxa"/>
            <w:bottom w:w="0" w:type="dxa"/>
            <w:right w:w="108" w:type="dxa"/>
          </w:tblCellMar>
        </w:tblPrEx>
        <w:trPr>
          <w:trHeight w:val="285" w:hRule="atLeast"/>
          <w:jc w:val="center"/>
        </w:trPr>
        <w:tc>
          <w:tcPr>
            <w:tcW w:w="10624" w:type="dxa"/>
            <w:gridSpan w:val="7"/>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本合同项下产品模具清单</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序号</w:t>
            </w:r>
          </w:p>
        </w:tc>
        <w:tc>
          <w:tcPr>
            <w:tcW w:w="2531"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模具名称</w:t>
            </w:r>
          </w:p>
        </w:tc>
        <w:tc>
          <w:tcPr>
            <w:tcW w:w="910"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单位</w:t>
            </w:r>
          </w:p>
        </w:tc>
        <w:tc>
          <w:tcPr>
            <w:tcW w:w="1033"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数量</w:t>
            </w:r>
          </w:p>
        </w:tc>
        <w:tc>
          <w:tcPr>
            <w:tcW w:w="2867"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模具规格</w:t>
            </w:r>
          </w:p>
        </w:tc>
        <w:tc>
          <w:tcPr>
            <w:tcW w:w="1668"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rPr>
              <w:t>模具制作费用（含13%税元）</w:t>
            </w:r>
          </w:p>
        </w:tc>
        <w:tc>
          <w:tcPr>
            <w:tcW w:w="696" w:type="dxa"/>
            <w:tcBorders>
              <w:top w:val="nil"/>
              <w:left w:val="nil"/>
              <w:bottom w:val="single" w:color="auto" w:sz="4" w:space="0"/>
              <w:right w:val="single" w:color="auto" w:sz="4" w:space="0"/>
            </w:tcBorders>
            <w:vAlign w:val="center"/>
          </w:tcPr>
          <w:p>
            <w:pPr>
              <w:spacing w:before="156" w:beforeLines="50" w:after="156" w:afterLines="50" w:line="440" w:lineRule="exact"/>
              <w:jc w:val="center"/>
              <w:rPr>
                <w:rFonts w:ascii="宋体" w:hAnsi="宋体"/>
                <w:sz w:val="24"/>
                <w:szCs w:val="24"/>
              </w:rPr>
            </w:pPr>
            <w:r>
              <w:rPr>
                <w:rFonts w:hint="eastAsia" w:ascii="宋体" w:hAnsi="宋体"/>
                <w:sz w:val="24"/>
              </w:rPr>
              <w:t>配套车型</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靠背泡沫发泡模具</w:t>
            </w:r>
          </w:p>
        </w:tc>
        <w:tc>
          <w:tcPr>
            <w:tcW w:w="910" w:type="dxa"/>
            <w:tcBorders>
              <w:top w:val="nil"/>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980*774*450</w:t>
            </w:r>
          </w:p>
        </w:tc>
        <w:tc>
          <w:tcPr>
            <w:tcW w:w="1668" w:type="dxa"/>
            <w:tcBorders>
              <w:top w:val="nil"/>
              <w:left w:val="nil"/>
              <w:bottom w:val="single" w:color="auto" w:sz="4" w:space="0"/>
              <w:right w:val="single" w:color="auto" w:sz="4" w:space="0"/>
            </w:tcBorders>
            <w:noWrap/>
          </w:tcPr>
          <w:p>
            <w:r>
              <w:t>70000</w:t>
            </w:r>
          </w:p>
        </w:tc>
        <w:tc>
          <w:tcPr>
            <w:tcW w:w="696" w:type="dxa"/>
            <w:tcBorders>
              <w:top w:val="nil"/>
              <w:left w:val="nil"/>
              <w:bottom w:val="single" w:color="auto" w:sz="4" w:space="0"/>
              <w:right w:val="single" w:color="auto" w:sz="4" w:space="0"/>
            </w:tcBorders>
            <w:vAlign w:val="center"/>
          </w:tcPr>
          <w:p>
            <w:pPr>
              <w:spacing w:before="156" w:beforeLines="50" w:after="156" w:afterLines="50" w:line="440" w:lineRule="exact"/>
              <w:jc w:val="center"/>
              <w:rPr>
                <w:rFonts w:ascii="宋体" w:hAnsi="宋体"/>
                <w:sz w:val="24"/>
                <w:szCs w:val="24"/>
              </w:rPr>
            </w:pPr>
            <w:r>
              <w:rPr>
                <w:rFonts w:ascii="宋体" w:hAnsi="宋体"/>
                <w:sz w:val="24"/>
                <w:szCs w:val="24"/>
              </w:rP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座垫泡沫发泡模具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800*774*450</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左侧大罩壳注塑模具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720*1130*810</w:t>
            </w:r>
          </w:p>
        </w:tc>
        <w:tc>
          <w:tcPr>
            <w:tcW w:w="1668" w:type="dxa"/>
            <w:tcBorders>
              <w:top w:val="nil"/>
              <w:left w:val="nil"/>
              <w:bottom w:val="single" w:color="auto" w:sz="4" w:space="0"/>
              <w:right w:val="single" w:color="auto" w:sz="4" w:space="0"/>
            </w:tcBorders>
            <w:noWrap/>
          </w:tcPr>
          <w:p>
            <w:r>
              <w:t>250000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安全带出口前罩壳注塑模具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650*780*575</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安全带出口后罩壳注塑模具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650*780*575</w:t>
            </w:r>
          </w:p>
        </w:tc>
        <w:tc>
          <w:tcPr>
            <w:tcW w:w="1668" w:type="dxa"/>
            <w:tcBorders>
              <w:top w:val="nil"/>
              <w:left w:val="nil"/>
              <w:bottom w:val="single" w:color="auto" w:sz="4" w:space="0"/>
              <w:right w:val="single" w:color="auto" w:sz="4" w:space="0"/>
            </w:tcBorders>
            <w:noWrap/>
          </w:tcPr>
          <w:p>
            <w:r>
              <w:t>190000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整椅检具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890*680*375</w:t>
            </w:r>
          </w:p>
        </w:tc>
        <w:tc>
          <w:tcPr>
            <w:tcW w:w="1668" w:type="dxa"/>
            <w:tcBorders>
              <w:top w:val="nil"/>
              <w:left w:val="nil"/>
              <w:bottom w:val="single" w:color="auto" w:sz="4" w:space="0"/>
              <w:right w:val="single" w:color="auto" w:sz="4" w:space="0"/>
            </w:tcBorders>
            <w:noWrap/>
          </w:tcPr>
          <w:p>
            <w:r>
              <w:t>200000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左前脚架冲压模具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470*310*309，470*310*346，480*440*340</w:t>
            </w:r>
          </w:p>
        </w:tc>
        <w:tc>
          <w:tcPr>
            <w:tcW w:w="1668" w:type="dxa"/>
            <w:tcBorders>
              <w:top w:val="nil"/>
              <w:left w:val="nil"/>
              <w:bottom w:val="single" w:color="auto" w:sz="4" w:space="0"/>
              <w:right w:val="single" w:color="auto" w:sz="4" w:space="0"/>
            </w:tcBorders>
            <w:noWrap/>
          </w:tcPr>
          <w:p>
            <w:r>
              <w:t>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右前脚架冲压模具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455*265*322，410*310*319，480*440*340</w:t>
            </w:r>
          </w:p>
        </w:tc>
        <w:tc>
          <w:tcPr>
            <w:tcW w:w="1668" w:type="dxa"/>
            <w:tcBorders>
              <w:top w:val="nil"/>
              <w:left w:val="nil"/>
              <w:bottom w:val="single" w:color="auto" w:sz="4" w:space="0"/>
              <w:right w:val="single" w:color="auto" w:sz="4" w:space="0"/>
            </w:tcBorders>
            <w:noWrap/>
          </w:tcPr>
          <w:p>
            <w:r>
              <w:t>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右支撑钣金冲压模具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6</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960*490*400，1090*570*400970*570*400，930*430*400</w:t>
            </w:r>
          </w:p>
        </w:tc>
        <w:tc>
          <w:tcPr>
            <w:tcW w:w="1668" w:type="dxa"/>
            <w:tcBorders>
              <w:top w:val="nil"/>
              <w:left w:val="nil"/>
              <w:bottom w:val="single" w:color="auto" w:sz="4" w:space="0"/>
              <w:right w:val="single" w:color="auto" w:sz="4" w:space="0"/>
            </w:tcBorders>
            <w:noWrap/>
          </w:tcPr>
          <w:p>
            <w:r>
              <w:t>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前支撑钣金冲压模具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7</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920*560*400</w:t>
            </w:r>
          </w:p>
        </w:tc>
        <w:tc>
          <w:tcPr>
            <w:tcW w:w="1668" w:type="dxa"/>
            <w:tcBorders>
              <w:top w:val="nil"/>
              <w:left w:val="nil"/>
              <w:bottom w:val="single" w:color="auto" w:sz="4" w:space="0"/>
              <w:right w:val="single" w:color="auto" w:sz="4" w:space="0"/>
            </w:tcBorders>
            <w:noWrap/>
          </w:tcPr>
          <w:p>
            <w:r>
              <w:t>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后安装支架冲压模具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4</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480*780*380</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底支架焊接夹具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570*480*316</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靠背骨架总成焊接夹具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570*480*322</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530*410**336</w:t>
            </w:r>
          </w:p>
        </w:tc>
        <w:tc>
          <w:tcPr>
            <w:tcW w:w="1668" w:type="dxa"/>
            <w:tcBorders>
              <w:top w:val="nil"/>
              <w:left w:val="nil"/>
              <w:bottom w:val="single" w:color="auto" w:sz="4" w:space="0"/>
              <w:right w:val="single" w:color="auto" w:sz="4" w:space="0"/>
            </w:tcBorders>
            <w:noWrap/>
          </w:tcPr>
          <w:p>
            <w:r>
              <w:t>70000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座垫泡沫发泡模具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530*330*341</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座椅旋转调节气动开关注塑模具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1出2</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420*305*320</w:t>
            </w:r>
          </w:p>
        </w:tc>
        <w:tc>
          <w:tcPr>
            <w:tcW w:w="1668" w:type="dxa"/>
            <w:tcBorders>
              <w:top w:val="nil"/>
              <w:left w:val="nil"/>
              <w:bottom w:val="single" w:color="auto" w:sz="4" w:space="0"/>
              <w:right w:val="single" w:color="auto" w:sz="4" w:space="0"/>
            </w:tcBorders>
            <w:noWrap/>
          </w:tcPr>
          <w:p>
            <w:r>
              <w:t>160000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安全带出口前罩壳注塑模具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510*320*300</w:t>
            </w:r>
          </w:p>
        </w:tc>
        <w:tc>
          <w:tcPr>
            <w:tcW w:w="1668" w:type="dxa"/>
            <w:tcBorders>
              <w:top w:val="nil"/>
              <w:left w:val="nil"/>
              <w:bottom w:val="single" w:color="auto" w:sz="4" w:space="0"/>
              <w:right w:val="single" w:color="auto" w:sz="4" w:space="0"/>
            </w:tcBorders>
            <w:noWrap/>
          </w:tcPr>
          <w:p>
            <w:r>
              <w:t>160000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右支撑钣金冲压模具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6</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525*345*322</w:t>
            </w:r>
          </w:p>
        </w:tc>
        <w:tc>
          <w:tcPr>
            <w:tcW w:w="1668" w:type="dxa"/>
            <w:tcBorders>
              <w:top w:val="nil"/>
              <w:left w:val="nil"/>
              <w:bottom w:val="single" w:color="auto" w:sz="4" w:space="0"/>
              <w:right w:val="single" w:color="auto" w:sz="4" w:space="0"/>
            </w:tcBorders>
            <w:noWrap/>
          </w:tcPr>
          <w:p>
            <w:r>
              <w:t>40000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19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前支撑钣金冲压模具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7</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770*410*400</w:t>
            </w:r>
          </w:p>
        </w:tc>
        <w:tc>
          <w:tcPr>
            <w:tcW w:w="1668" w:type="dxa"/>
            <w:tcBorders>
              <w:top w:val="nil"/>
              <w:left w:val="nil"/>
              <w:bottom w:val="single" w:color="auto" w:sz="4" w:space="0"/>
              <w:right w:val="single" w:color="auto" w:sz="4" w:space="0"/>
            </w:tcBorders>
            <w:noWrap/>
          </w:tcPr>
          <w:p>
            <w:r>
              <w:t>40000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转盘上安装支架冲压模具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940*600*400</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转盘下安装支架冲压模具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730*460*400</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底支架焊接夹具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820*440*400</w:t>
            </w:r>
          </w:p>
        </w:tc>
        <w:tc>
          <w:tcPr>
            <w:tcW w:w="1668" w:type="dxa"/>
            <w:tcBorders>
              <w:top w:val="nil"/>
              <w:left w:val="nil"/>
              <w:bottom w:val="single" w:color="auto" w:sz="4" w:space="0"/>
              <w:right w:val="single" w:color="auto" w:sz="4" w:space="0"/>
            </w:tcBorders>
            <w:noWrap/>
          </w:tcPr>
          <w:p>
            <w:r>
              <w:t>250000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左调角器焊接总成焊接夹具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1600*800*400</w:t>
            </w:r>
          </w:p>
        </w:tc>
        <w:tc>
          <w:tcPr>
            <w:tcW w:w="1668" w:type="dxa"/>
            <w:tcBorders>
              <w:top w:val="nil"/>
              <w:left w:val="nil"/>
              <w:bottom w:val="single" w:color="auto" w:sz="4" w:space="0"/>
              <w:right w:val="single" w:color="auto" w:sz="4" w:space="0"/>
            </w:tcBorders>
            <w:noWrap/>
          </w:tcPr>
          <w:p>
            <w:r>
              <w:t>120000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右调角器焊接总成焊接夹具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1600*800*400</w:t>
            </w:r>
          </w:p>
        </w:tc>
        <w:tc>
          <w:tcPr>
            <w:tcW w:w="1668" w:type="dxa"/>
            <w:tcBorders>
              <w:top w:val="nil"/>
              <w:left w:val="nil"/>
              <w:bottom w:val="single" w:color="auto" w:sz="4" w:space="0"/>
              <w:right w:val="single" w:color="auto" w:sz="4" w:space="0"/>
            </w:tcBorders>
            <w:noWrap/>
          </w:tcPr>
          <w:p>
            <w:r>
              <w:t>120000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靠背骨架总成焊接夹具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980*774*450</w:t>
            </w:r>
          </w:p>
        </w:tc>
        <w:tc>
          <w:tcPr>
            <w:tcW w:w="1668" w:type="dxa"/>
            <w:tcBorders>
              <w:top w:val="nil"/>
              <w:left w:val="nil"/>
              <w:bottom w:val="single" w:color="auto" w:sz="4" w:space="0"/>
              <w:right w:val="single" w:color="auto" w:sz="4" w:space="0"/>
            </w:tcBorders>
            <w:noWrap/>
          </w:tcPr>
          <w:p>
            <w:r>
              <w:t>160000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800*774*450</w:t>
            </w:r>
          </w:p>
        </w:tc>
        <w:tc>
          <w:tcPr>
            <w:tcW w:w="1668" w:type="dxa"/>
            <w:tcBorders>
              <w:top w:val="nil"/>
              <w:left w:val="nil"/>
              <w:bottom w:val="single" w:color="auto" w:sz="4" w:space="0"/>
              <w:right w:val="single" w:color="auto" w:sz="4" w:space="0"/>
            </w:tcBorders>
            <w:noWrap/>
          </w:tcPr>
          <w:p>
            <w:r>
              <w:t>70000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座垫泡沫发泡模具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300*350*400</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右侧罩壳注塑模具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650*780*575</w:t>
            </w:r>
          </w:p>
        </w:tc>
        <w:tc>
          <w:tcPr>
            <w:tcW w:w="1668" w:type="dxa"/>
            <w:tcBorders>
              <w:top w:val="nil"/>
              <w:left w:val="nil"/>
              <w:bottom w:val="single" w:color="auto" w:sz="4" w:space="0"/>
              <w:right w:val="single" w:color="auto" w:sz="4" w:space="0"/>
            </w:tcBorders>
            <w:noWrap/>
          </w:tcPr>
          <w:p>
            <w:r>
              <w:t>200000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29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安全带出口前罩壳注塑模具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960*490*400，1090*570*400970*570*400，930*430*400</w:t>
            </w:r>
          </w:p>
        </w:tc>
        <w:tc>
          <w:tcPr>
            <w:tcW w:w="1668" w:type="dxa"/>
            <w:tcBorders>
              <w:top w:val="nil"/>
              <w:left w:val="nil"/>
              <w:bottom w:val="single" w:color="auto" w:sz="4" w:space="0"/>
              <w:right w:val="single" w:color="auto" w:sz="4" w:space="0"/>
            </w:tcBorders>
            <w:noWrap/>
          </w:tcPr>
          <w:p>
            <w:r>
              <w:t>160000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安全带出口后罩壳注塑模具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920*560*400</w:t>
            </w:r>
          </w:p>
        </w:tc>
        <w:tc>
          <w:tcPr>
            <w:tcW w:w="1668" w:type="dxa"/>
            <w:tcBorders>
              <w:top w:val="nil"/>
              <w:left w:val="nil"/>
              <w:bottom w:val="single" w:color="auto" w:sz="4" w:space="0"/>
              <w:right w:val="single" w:color="auto" w:sz="4" w:space="0"/>
            </w:tcBorders>
            <w:noWrap/>
          </w:tcPr>
          <w:p>
            <w:r>
              <w:t>180000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底支架冲压模具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6</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480*780*380</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左补强钣金冲压模具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570*480*316</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右补强钣金冲压模具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570*480*322</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中间补强钣金冲压模具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530*410**336</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整椅检具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530*330*341</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焊接治具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420*305*320</w:t>
            </w:r>
          </w:p>
        </w:tc>
        <w:tc>
          <w:tcPr>
            <w:tcW w:w="1668" w:type="dxa"/>
            <w:tcBorders>
              <w:top w:val="nil"/>
              <w:left w:val="nil"/>
              <w:bottom w:val="single" w:color="auto" w:sz="4" w:space="0"/>
              <w:right w:val="single" w:color="auto" w:sz="4" w:space="0"/>
            </w:tcBorders>
            <w:noWrap/>
          </w:tcPr>
          <w:p>
            <w:r>
              <w:t>250000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底支架焊接夹具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510*320*300</w:t>
            </w:r>
          </w:p>
        </w:tc>
        <w:tc>
          <w:tcPr>
            <w:tcW w:w="1668" w:type="dxa"/>
            <w:tcBorders>
              <w:top w:val="nil"/>
              <w:left w:val="nil"/>
              <w:bottom w:val="single" w:color="auto" w:sz="4" w:space="0"/>
              <w:right w:val="single" w:color="auto" w:sz="4" w:space="0"/>
            </w:tcBorders>
            <w:noWrap/>
          </w:tcPr>
          <w:p>
            <w:r>
              <w:t>180000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靠背骨架总成焊接夹具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525*345*322</w:t>
            </w:r>
          </w:p>
        </w:tc>
        <w:tc>
          <w:tcPr>
            <w:tcW w:w="1668" w:type="dxa"/>
            <w:tcBorders>
              <w:top w:val="nil"/>
              <w:left w:val="nil"/>
              <w:bottom w:val="single" w:color="auto" w:sz="4" w:space="0"/>
              <w:right w:val="single" w:color="auto" w:sz="4" w:space="0"/>
            </w:tcBorders>
            <w:noWrap/>
          </w:tcPr>
          <w:p>
            <w:r>
              <w:t>80000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39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左调角器焊接总成焊接夹具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360*310*325</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右调角器焊接总成焊接夹具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355*310*324</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330*290*303</w:t>
            </w:r>
          </w:p>
        </w:tc>
        <w:tc>
          <w:tcPr>
            <w:tcW w:w="1668" w:type="dxa"/>
            <w:tcBorders>
              <w:top w:val="nil"/>
              <w:left w:val="nil"/>
              <w:bottom w:val="single" w:color="auto" w:sz="4" w:space="0"/>
              <w:right w:val="single" w:color="auto" w:sz="4" w:space="0"/>
            </w:tcBorders>
            <w:noWrap/>
          </w:tcPr>
          <w:p>
            <w:r>
              <w:t>70000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座垫泡沫发泡模具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360*310*325</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右侧大罩壳注塑模具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355*310*324</w:t>
            </w:r>
          </w:p>
        </w:tc>
        <w:tc>
          <w:tcPr>
            <w:tcW w:w="1668" w:type="dxa"/>
            <w:tcBorders>
              <w:top w:val="nil"/>
              <w:left w:val="nil"/>
              <w:bottom w:val="single" w:color="auto" w:sz="4" w:space="0"/>
              <w:right w:val="single" w:color="auto" w:sz="4" w:space="0"/>
            </w:tcBorders>
            <w:noWrap/>
          </w:tcPr>
          <w:p>
            <w:r>
              <w:t>230000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安全带出口前罩壳注塑模具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1出1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330*290*303</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底支架焊接夹具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1600*800*400</w:t>
            </w:r>
          </w:p>
        </w:tc>
        <w:tc>
          <w:tcPr>
            <w:tcW w:w="1668" w:type="dxa"/>
            <w:tcBorders>
              <w:top w:val="nil"/>
              <w:left w:val="nil"/>
              <w:bottom w:val="single" w:color="auto" w:sz="4" w:space="0"/>
              <w:right w:val="single" w:color="auto" w:sz="4" w:space="0"/>
            </w:tcBorders>
            <w:noWrap/>
          </w:tcPr>
          <w:p>
            <w:r>
              <w:t>80000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靠背骨架总成焊接夹具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1600*800*400</w:t>
            </w:r>
          </w:p>
        </w:tc>
        <w:tc>
          <w:tcPr>
            <w:tcW w:w="1668" w:type="dxa"/>
            <w:tcBorders>
              <w:top w:val="nil"/>
              <w:left w:val="nil"/>
              <w:bottom w:val="single" w:color="auto" w:sz="4" w:space="0"/>
              <w:right w:val="single" w:color="auto" w:sz="4" w:space="0"/>
            </w:tcBorders>
            <w:noWrap/>
          </w:tcPr>
          <w:p>
            <w:r>
              <w:t>80000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线束插件固定座模具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800*774*450</w:t>
            </w:r>
          </w:p>
        </w:tc>
        <w:tc>
          <w:tcPr>
            <w:tcW w:w="1668" w:type="dxa"/>
            <w:tcBorders>
              <w:top w:val="nil"/>
              <w:left w:val="nil"/>
              <w:bottom w:val="single" w:color="auto" w:sz="4" w:space="0"/>
              <w:right w:val="single" w:color="auto" w:sz="4" w:space="0"/>
            </w:tcBorders>
            <w:noWrap/>
          </w:tcPr>
          <w:p>
            <w:r>
              <w:t>110000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左侧大罩壳</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720*1130*810</w:t>
            </w:r>
          </w:p>
        </w:tc>
        <w:tc>
          <w:tcPr>
            <w:tcW w:w="1668" w:type="dxa"/>
            <w:tcBorders>
              <w:top w:val="nil"/>
              <w:left w:val="nil"/>
              <w:bottom w:val="single" w:color="auto" w:sz="4" w:space="0"/>
              <w:right w:val="single" w:color="auto" w:sz="4" w:space="0"/>
            </w:tcBorders>
            <w:noWrap/>
          </w:tcPr>
          <w:p>
            <w:r>
              <w:t>220000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49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电动倾角&amp;滑轨调节按钮</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650*780*575</w:t>
            </w:r>
          </w:p>
        </w:tc>
        <w:tc>
          <w:tcPr>
            <w:tcW w:w="1668" w:type="dxa"/>
            <w:tcBorders>
              <w:top w:val="nil"/>
              <w:left w:val="nil"/>
              <w:bottom w:val="single" w:color="auto" w:sz="4" w:space="0"/>
              <w:right w:val="single" w:color="auto" w:sz="4" w:space="0"/>
            </w:tcBorders>
            <w:noWrap/>
          </w:tcPr>
          <w:p>
            <w:r>
              <w:t>5000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电动高度调节按钮总成</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650*780*575</w:t>
            </w:r>
          </w:p>
        </w:tc>
        <w:tc>
          <w:tcPr>
            <w:tcW w:w="1668" w:type="dxa"/>
            <w:tcBorders>
              <w:top w:val="nil"/>
              <w:left w:val="nil"/>
              <w:bottom w:val="single" w:color="auto" w:sz="4" w:space="0"/>
              <w:right w:val="single" w:color="auto" w:sz="4" w:space="0"/>
            </w:tcBorders>
            <w:noWrap/>
          </w:tcPr>
          <w:p>
            <w:r>
              <w:t>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51</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电动靠背调节按钮总成</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890*680*375</w:t>
            </w:r>
          </w:p>
        </w:tc>
        <w:tc>
          <w:tcPr>
            <w:tcW w:w="1668" w:type="dxa"/>
            <w:tcBorders>
              <w:top w:val="nil"/>
              <w:left w:val="nil"/>
              <w:bottom w:val="single" w:color="auto" w:sz="4" w:space="0"/>
              <w:right w:val="single" w:color="auto" w:sz="4" w:space="0"/>
            </w:tcBorders>
            <w:noWrap/>
          </w:tcPr>
          <w:p>
            <w:r>
              <w:t>5000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52</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电控平台上壳体</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350*400*380</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53</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电控平台下壳体</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350*400*380</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54</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电动滑轨电机支架</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3</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880*450*410</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55</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电动旋转盘安装支架</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4</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810*510*410</w:t>
            </w:r>
          </w:p>
        </w:tc>
        <w:tc>
          <w:tcPr>
            <w:tcW w:w="1668" w:type="dxa"/>
            <w:tcBorders>
              <w:top w:val="nil"/>
              <w:left w:val="nil"/>
              <w:bottom w:val="single" w:color="auto" w:sz="4" w:space="0"/>
              <w:right w:val="single" w:color="auto" w:sz="4" w:space="0"/>
            </w:tcBorders>
            <w:noWrap/>
          </w:tcPr>
          <w:p>
            <w:r>
              <w:t>170000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56</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倾角调节支架总成</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4</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750*420*335</w:t>
            </w:r>
          </w:p>
        </w:tc>
        <w:tc>
          <w:tcPr>
            <w:tcW w:w="1668" w:type="dxa"/>
            <w:tcBorders>
              <w:top w:val="nil"/>
              <w:left w:val="nil"/>
              <w:bottom w:val="single" w:color="auto" w:sz="4" w:space="0"/>
              <w:right w:val="single" w:color="auto" w:sz="4" w:space="0"/>
            </w:tcBorders>
            <w:noWrap/>
          </w:tcPr>
          <w:p>
            <w:r>
              <w:t>160000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57</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副边调角器下连接板A</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8</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560*430*300</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58</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主边调角器下连接板B</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6</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580*320*290</w:t>
            </w:r>
          </w:p>
        </w:tc>
        <w:tc>
          <w:tcPr>
            <w:tcW w:w="1668" w:type="dxa"/>
            <w:tcBorders>
              <w:top w:val="nil"/>
              <w:left w:val="nil"/>
              <w:bottom w:val="single" w:color="auto" w:sz="4" w:space="0"/>
              <w:right w:val="single" w:color="auto" w:sz="4" w:space="0"/>
            </w:tcBorders>
            <w:noWrap/>
          </w:tcPr>
          <w:p>
            <w:r>
              <w:t>100000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59</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副边调角器下连接板B/主边调角器下连接板B</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6</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450*232*290</w:t>
            </w:r>
          </w:p>
        </w:tc>
        <w:tc>
          <w:tcPr>
            <w:tcW w:w="1668" w:type="dxa"/>
            <w:tcBorders>
              <w:top w:val="nil"/>
              <w:left w:val="nil"/>
              <w:bottom w:val="single" w:color="auto" w:sz="4" w:space="0"/>
              <w:right w:val="single" w:color="auto" w:sz="4" w:space="0"/>
            </w:tcBorders>
            <w:noWrap/>
          </w:tcPr>
          <w:p>
            <w:r>
              <w:t>150000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nil"/>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60</w:t>
            </w:r>
          </w:p>
        </w:tc>
        <w:tc>
          <w:tcPr>
            <w:tcW w:w="2531" w:type="dxa"/>
            <w:tcBorders>
              <w:top w:val="nil"/>
              <w:left w:val="nil"/>
              <w:bottom w:val="single" w:color="auto" w:sz="4" w:space="0"/>
              <w:right w:val="single" w:color="auto" w:sz="4" w:space="0"/>
            </w:tcBorders>
            <w:noWrap/>
          </w:tcPr>
          <w:p>
            <w:pPr>
              <w:spacing w:before="156" w:beforeLines="50" w:after="156" w:afterLines="50" w:line="440" w:lineRule="exact"/>
              <w:jc w:val="center"/>
            </w:pPr>
            <w:r>
              <w:rPr>
                <w:rFonts w:hint="eastAsia"/>
              </w:rPr>
              <w:t>整椅检具</w:t>
            </w:r>
          </w:p>
        </w:tc>
        <w:tc>
          <w:tcPr>
            <w:tcW w:w="910" w:type="dxa"/>
            <w:tcBorders>
              <w:top w:val="nil"/>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nil"/>
              <w:left w:val="nil"/>
              <w:bottom w:val="single" w:color="auto" w:sz="4" w:space="0"/>
              <w:right w:val="single" w:color="auto" w:sz="4" w:space="0"/>
            </w:tcBorders>
            <w:noWrap/>
          </w:tcPr>
          <w:p>
            <w:pPr>
              <w:spacing w:before="156" w:beforeLines="50" w:after="156" w:afterLines="50" w:line="440" w:lineRule="exact"/>
              <w:jc w:val="center"/>
            </w:pPr>
            <w:r>
              <w:t>1</w:t>
            </w:r>
          </w:p>
        </w:tc>
        <w:tc>
          <w:tcPr>
            <w:tcW w:w="2867" w:type="dxa"/>
            <w:tcBorders>
              <w:top w:val="nil"/>
              <w:left w:val="nil"/>
              <w:bottom w:val="single" w:color="auto" w:sz="4" w:space="0"/>
              <w:right w:val="single" w:color="auto" w:sz="4" w:space="0"/>
            </w:tcBorders>
            <w:noWrap/>
          </w:tcPr>
          <w:p>
            <w:pPr>
              <w:spacing w:before="156" w:beforeLines="50" w:after="156" w:afterLines="50" w:line="440" w:lineRule="exact"/>
              <w:jc w:val="center"/>
            </w:pPr>
            <w:r>
              <w:t>510*330*295</w:t>
            </w:r>
          </w:p>
        </w:tc>
        <w:tc>
          <w:tcPr>
            <w:tcW w:w="1668" w:type="dxa"/>
            <w:tcBorders>
              <w:top w:val="nil"/>
              <w:left w:val="nil"/>
              <w:bottom w:val="single" w:color="auto" w:sz="4" w:space="0"/>
              <w:right w:val="single" w:color="auto" w:sz="4" w:space="0"/>
            </w:tcBorders>
            <w:noWrap/>
          </w:tcPr>
          <w:p>
            <w:r>
              <w:t>130000</w:t>
            </w:r>
          </w:p>
        </w:tc>
        <w:tc>
          <w:tcPr>
            <w:tcW w:w="696" w:type="dxa"/>
            <w:tcBorders>
              <w:top w:val="nil"/>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919" w:type="dxa"/>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61</w:t>
            </w:r>
          </w:p>
        </w:tc>
        <w:tc>
          <w:tcPr>
            <w:tcW w:w="2531" w:type="dxa"/>
            <w:tcBorders>
              <w:top w:val="single" w:color="auto" w:sz="4" w:space="0"/>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rPr>
              <w:t>焊接治具</w:t>
            </w:r>
          </w:p>
        </w:tc>
        <w:tc>
          <w:tcPr>
            <w:tcW w:w="910" w:type="dxa"/>
            <w:tcBorders>
              <w:top w:val="single" w:color="auto" w:sz="4" w:space="0"/>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c>
          <w:tcPr>
            <w:tcW w:w="1033" w:type="dxa"/>
            <w:tcBorders>
              <w:top w:val="single" w:color="auto" w:sz="4" w:space="0"/>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1</w:t>
            </w:r>
          </w:p>
        </w:tc>
        <w:tc>
          <w:tcPr>
            <w:tcW w:w="2867" w:type="dxa"/>
            <w:tcBorders>
              <w:top w:val="single" w:color="auto" w:sz="4" w:space="0"/>
              <w:left w:val="nil"/>
              <w:bottom w:val="single" w:color="auto" w:sz="4" w:space="0"/>
              <w:right w:val="single" w:color="auto" w:sz="4" w:space="0"/>
            </w:tcBorders>
            <w:noWrap/>
          </w:tcPr>
          <w:p>
            <w:pPr>
              <w:spacing w:before="156" w:beforeLines="50" w:after="156" w:afterLines="50" w:line="440" w:lineRule="exact"/>
              <w:jc w:val="center"/>
              <w:rPr>
                <w:rFonts w:ascii="宋体" w:hAnsi="宋体"/>
                <w:sz w:val="24"/>
                <w:szCs w:val="24"/>
              </w:rPr>
            </w:pPr>
            <w:r>
              <w:t>540*250*290</w:t>
            </w:r>
          </w:p>
        </w:tc>
        <w:tc>
          <w:tcPr>
            <w:tcW w:w="1668" w:type="dxa"/>
            <w:tcBorders>
              <w:top w:val="single" w:color="auto" w:sz="4" w:space="0"/>
              <w:left w:val="nil"/>
              <w:bottom w:val="single" w:color="auto" w:sz="4" w:space="0"/>
              <w:right w:val="single" w:color="auto" w:sz="4" w:space="0"/>
            </w:tcBorders>
            <w:noWrap/>
          </w:tcPr>
          <w:p>
            <w:r>
              <w:t>180000</w:t>
            </w:r>
          </w:p>
        </w:tc>
        <w:tc>
          <w:tcPr>
            <w:tcW w:w="696" w:type="dxa"/>
            <w:tcBorders>
              <w:top w:val="single" w:color="auto" w:sz="4" w:space="0"/>
              <w:left w:val="nil"/>
              <w:bottom w:val="single" w:color="auto" w:sz="4" w:space="0"/>
              <w:right w:val="single" w:color="auto" w:sz="4" w:space="0"/>
            </w:tcBorders>
          </w:tcPr>
          <w:p>
            <w:r>
              <w:t>G3</w:t>
            </w:r>
          </w:p>
        </w:tc>
      </w:tr>
      <w:tr>
        <w:tblPrEx>
          <w:tblCellMar>
            <w:top w:w="0" w:type="dxa"/>
            <w:left w:w="108" w:type="dxa"/>
            <w:bottom w:w="0" w:type="dxa"/>
            <w:right w:w="108" w:type="dxa"/>
          </w:tblCellMar>
        </w:tblPrEx>
        <w:trPr>
          <w:trHeight w:val="285" w:hRule="atLeast"/>
          <w:jc w:val="center"/>
        </w:trPr>
        <w:tc>
          <w:tcPr>
            <w:tcW w:w="8260" w:type="dxa"/>
            <w:gridSpan w:val="5"/>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费用总计</w:t>
            </w:r>
          </w:p>
        </w:tc>
        <w:tc>
          <w:tcPr>
            <w:tcW w:w="1668" w:type="dxa"/>
            <w:tcBorders>
              <w:top w:val="single" w:color="auto" w:sz="4" w:space="0"/>
              <w:left w:val="nil"/>
              <w:bottom w:val="single" w:color="auto" w:sz="4" w:space="0"/>
              <w:right w:val="single" w:color="auto" w:sz="4" w:space="0"/>
            </w:tcBorders>
            <w:noWrap/>
            <w:vAlign w:val="center"/>
          </w:tcPr>
          <w:p>
            <w:pPr>
              <w:spacing w:before="156" w:beforeLines="50" w:after="156" w:afterLines="50" w:line="440" w:lineRule="exact"/>
              <w:jc w:val="center"/>
              <w:rPr>
                <w:rFonts w:ascii="宋体" w:hAnsi="宋体"/>
                <w:sz w:val="24"/>
                <w:szCs w:val="24"/>
              </w:rPr>
            </w:pPr>
            <w:r>
              <w:rPr>
                <w:rFonts w:ascii="宋体" w:hAnsi="宋体"/>
                <w:sz w:val="24"/>
                <w:szCs w:val="24"/>
              </w:rPr>
              <w:t>678</w:t>
            </w:r>
            <w:r>
              <w:rPr>
                <w:rFonts w:hint="eastAsia" w:ascii="宋体" w:hAnsi="宋体"/>
                <w:sz w:val="24"/>
                <w:szCs w:val="24"/>
              </w:rPr>
              <w:t>0000.00</w:t>
            </w:r>
          </w:p>
        </w:tc>
        <w:tc>
          <w:tcPr>
            <w:tcW w:w="696" w:type="dxa"/>
            <w:tcBorders>
              <w:top w:val="single" w:color="auto" w:sz="4" w:space="0"/>
              <w:left w:val="nil"/>
              <w:bottom w:val="single" w:color="auto" w:sz="4" w:space="0"/>
              <w:right w:val="single" w:color="auto" w:sz="4" w:space="0"/>
            </w:tcBorders>
            <w:vAlign w:val="center"/>
          </w:tcPr>
          <w:p>
            <w:pPr>
              <w:spacing w:before="156" w:beforeLines="50" w:after="156" w:afterLines="50" w:line="440" w:lineRule="exact"/>
              <w:jc w:val="center"/>
              <w:rPr>
                <w:rFonts w:ascii="宋体" w:hAnsi="宋体"/>
                <w:sz w:val="24"/>
                <w:szCs w:val="24"/>
              </w:rPr>
            </w:pPr>
            <w:r>
              <w:rPr>
                <w:rFonts w:hint="eastAsia" w:ascii="宋体" w:hAnsi="宋体"/>
                <w:sz w:val="24"/>
                <w:szCs w:val="24"/>
              </w:rPr>
              <w:t>/</w:t>
            </w:r>
          </w:p>
        </w:tc>
      </w:tr>
    </w:tbl>
    <w:p>
      <w:pPr>
        <w:spacing w:before="156" w:beforeLines="50" w:after="156" w:afterLines="50" w:line="440" w:lineRule="exact"/>
        <w:rPr>
          <w:rFonts w:ascii="宋体" w:hAnsi="宋体" w:cs="Arial"/>
          <w:b/>
          <w:sz w:val="24"/>
          <w:szCs w:val="24"/>
        </w:rPr>
      </w:pPr>
    </w:p>
    <w:p>
      <w:pPr>
        <w:spacing w:before="156" w:beforeLines="50" w:after="156" w:afterLines="50" w:line="440" w:lineRule="exact"/>
        <w:rPr>
          <w:rFonts w:ascii="宋体" w:hAnsi="宋体" w:cs="Arial"/>
          <w:b/>
          <w:sz w:val="24"/>
          <w:szCs w:val="24"/>
        </w:rPr>
      </w:pPr>
      <w:r>
        <w:rPr>
          <w:rFonts w:hint="eastAsia" w:ascii="宋体" w:hAnsi="宋体" w:cs="Arial"/>
          <w:b/>
          <w:sz w:val="24"/>
          <w:szCs w:val="24"/>
        </w:rPr>
        <w:t>第二十一条  设计验证费用明细</w:t>
      </w:r>
    </w:p>
    <w:tbl>
      <w:tblPr>
        <w:tblStyle w:val="8"/>
        <w:tblW w:w="9498" w:type="dxa"/>
        <w:tblInd w:w="-5" w:type="dxa"/>
        <w:tblLayout w:type="autofit"/>
        <w:tblCellMar>
          <w:top w:w="0" w:type="dxa"/>
          <w:left w:w="108" w:type="dxa"/>
          <w:bottom w:w="0" w:type="dxa"/>
          <w:right w:w="108" w:type="dxa"/>
        </w:tblCellMar>
      </w:tblPr>
      <w:tblGrid>
        <w:gridCol w:w="640"/>
        <w:gridCol w:w="896"/>
        <w:gridCol w:w="1866"/>
        <w:gridCol w:w="567"/>
        <w:gridCol w:w="851"/>
        <w:gridCol w:w="1701"/>
        <w:gridCol w:w="1559"/>
        <w:gridCol w:w="1418"/>
      </w:tblGrid>
      <w:tr>
        <w:tblPrEx>
          <w:tblCellMar>
            <w:top w:w="0" w:type="dxa"/>
            <w:left w:w="108" w:type="dxa"/>
            <w:bottom w:w="0" w:type="dxa"/>
            <w:right w:w="108" w:type="dxa"/>
          </w:tblCellMar>
        </w:tblPrEx>
        <w:trPr>
          <w:trHeight w:val="523" w:hRule="atLeast"/>
        </w:trPr>
        <w:tc>
          <w:tcPr>
            <w:tcW w:w="949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设计验证费用明细</w:t>
            </w:r>
          </w:p>
        </w:tc>
      </w:tr>
      <w:tr>
        <w:tblPrEx>
          <w:tblCellMar>
            <w:top w:w="0" w:type="dxa"/>
            <w:left w:w="108" w:type="dxa"/>
            <w:bottom w:w="0" w:type="dxa"/>
            <w:right w:w="108" w:type="dxa"/>
          </w:tblCellMar>
        </w:tblPrEx>
        <w:trPr>
          <w:trHeight w:val="279"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类别</w:t>
            </w: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单价（含6%税）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合计（含6%税）</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H点及靠背角度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等线" w:cs="Calibri"/>
                <w:szCs w:val="21"/>
              </w:rPr>
            </w:pPr>
            <w:r>
              <w:rPr>
                <w:rFonts w:eastAsia="等线" w:cs="Calibri"/>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5200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28000</w:t>
            </w:r>
          </w:p>
        </w:tc>
        <w:tc>
          <w:tcPr>
            <w:tcW w:w="1418" w:type="dxa"/>
            <w:tcBorders>
              <w:top w:val="nil"/>
              <w:left w:val="nil"/>
              <w:bottom w:val="single" w:color="auto" w:sz="4" w:space="0"/>
              <w:right w:val="single" w:color="auto" w:sz="4" w:space="0"/>
            </w:tcBorders>
            <w:shd w:val="clear" w:color="auto" w:fill="auto"/>
            <w:vAlign w:val="center"/>
          </w:tcPr>
          <w:p>
            <w:pPr>
              <w:widowControl/>
              <w:ind w:firstLine="480" w:firstLineChars="200"/>
              <w:jc w:val="both"/>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座椅固定装置、调节装置、锁止装置和移位折叠装置的强度试验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6000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24000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安全带强度</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座椅头枕静强度试验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6000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18000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5</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安全带固定点强度试验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8000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6</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阻燃性</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4000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7</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调节机构操作力试验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3000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9000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8</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靠背骨架总成间隙测试</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6000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9</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垂直疲劳强度试验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18800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37600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10</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座椅靠背调节疲劳耐久试验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19000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57000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11</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座垫翻转耐久</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35000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35000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12</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冷热循环试验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20000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60000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13</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座椅倾角调节耐久试验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21000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42000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14</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高度调节疲劳耐久试验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11000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15</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座椅阻尼耐久实验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11000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11000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16</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速降功能疲劳耐久试验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13000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13000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17</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水平调节疲劳耐久试验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13000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26000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18</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颠簸蠕动试验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36000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108000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19</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靠背疲劳强度试验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11000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20</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膝跪试验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10000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21</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振动试验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134000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402000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22</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加热性能试验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65000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130000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23</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通风性能试验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45000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90000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24</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线束性能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25</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EMC</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3</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55000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165000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26</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防腐试验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144H</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50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7200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27</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座椅总成禁限用物质</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28</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VOC零部件挥发性</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10000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29</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发泡性能试验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22000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22000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30</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面料性能试验</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2</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60000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120000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31</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塑料件性能（ABS材料）</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15000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32</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塑料件性能（PP材料）</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17480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17480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33</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塑料件性能（PP+ABS材料）</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15000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34</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塑料件性能（PA6+GF30材料）</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15000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15000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35</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耐光老化性</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29000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29000</w:t>
            </w:r>
          </w:p>
        </w:tc>
        <w:tc>
          <w:tcPr>
            <w:tcW w:w="1418" w:type="dxa"/>
            <w:tcBorders>
              <w:top w:val="nil"/>
              <w:left w:val="nil"/>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36</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气味性（总成）</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8000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37</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气味性（材料）</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2000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8000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38</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雾化性</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1600</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6400</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39</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QSTE340TM材料性能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40</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Q235材料性能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41</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SPFH590材料性能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42</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65Mn材料性能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43</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30CrMo材料性能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44</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ST14材料性能</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按需</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ind w:firstLine="420" w:firstLineChars="200"/>
            </w:pPr>
            <w:r>
              <w:t>/</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t>45</w:t>
            </w:r>
          </w:p>
        </w:tc>
        <w:tc>
          <w:tcPr>
            <w:tcW w:w="89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试验</w:t>
            </w:r>
          </w:p>
        </w:tc>
        <w:tc>
          <w:tcPr>
            <w:tcW w:w="1866"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整车耐久</w:t>
            </w:r>
          </w:p>
        </w:tc>
        <w:tc>
          <w:tcPr>
            <w:tcW w:w="567"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eastAsia="等线" w:cs="Calibri"/>
                <w:szCs w:val="21"/>
              </w:rPr>
            </w:pPr>
            <w:r>
              <w:rPr>
                <w:rFonts w:eastAsia="等线" w:cs="Calibri"/>
                <w:szCs w:val="21"/>
              </w:rPr>
              <w:t>4</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4"/>
                <w:szCs w:val="24"/>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418" w:type="dxa"/>
            <w:tcBorders>
              <w:top w:val="nil"/>
              <w:left w:val="nil"/>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w:t>
            </w:r>
          </w:p>
        </w:tc>
      </w:tr>
      <w:tr>
        <w:tblPrEx>
          <w:tblCellMar>
            <w:top w:w="0" w:type="dxa"/>
            <w:left w:w="108" w:type="dxa"/>
            <w:bottom w:w="0" w:type="dxa"/>
            <w:right w:w="108" w:type="dxa"/>
          </w:tblCellMar>
        </w:tblPrEx>
        <w:trPr>
          <w:trHeight w:val="497"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设计费　</w:t>
            </w: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设计费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w:t>
            </w:r>
          </w:p>
        </w:tc>
        <w:tc>
          <w:tcPr>
            <w:tcW w:w="1559" w:type="dxa"/>
            <w:tcBorders>
              <w:top w:val="nil"/>
              <w:left w:val="nil"/>
              <w:bottom w:val="single" w:color="auto" w:sz="4" w:space="0"/>
              <w:right w:val="single" w:color="auto" w:sz="4" w:space="0"/>
            </w:tcBorders>
            <w:shd w:val="clear" w:color="auto" w:fill="auto"/>
            <w:noWrap/>
            <w:vAlign w:val="center"/>
          </w:tcPr>
          <w:p>
            <w:pPr>
              <w:jc w:val="center"/>
              <w:rPr>
                <w:color w:val="000000"/>
              </w:rPr>
            </w:pPr>
            <w:r>
              <w:rPr>
                <w:color w:val="000000"/>
              </w:rPr>
              <w:t>6595320</w:t>
            </w:r>
            <w:r>
              <w:rPr>
                <w:rFonts w:hint="eastAsia"/>
                <w:color w:val="000000"/>
              </w:rPr>
              <w:t>.00</w:t>
            </w:r>
          </w:p>
        </w:tc>
        <w:tc>
          <w:tcPr>
            <w:tcW w:w="1418" w:type="dxa"/>
            <w:tcBorders>
              <w:top w:val="nil"/>
              <w:left w:val="nil"/>
              <w:bottom w:val="single" w:color="auto" w:sz="4" w:space="0"/>
              <w:right w:val="single" w:color="auto" w:sz="4" w:space="0"/>
            </w:tcBorders>
            <w:shd w:val="clear" w:color="auto" w:fill="auto"/>
            <w:vAlign w:val="center"/>
          </w:tcPr>
          <w:p>
            <w:pPr>
              <w:widowControl/>
              <w:ind w:firstLine="240" w:firstLineChars="100"/>
              <w:jc w:val="both"/>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561" w:hRule="atLeast"/>
        </w:trPr>
        <w:tc>
          <w:tcPr>
            <w:tcW w:w="65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费用总价</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8215000.00 </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ind w:firstLine="240" w:firstLineChars="100"/>
              <w:jc w:val="both"/>
              <w:rPr>
                <w:rFonts w:ascii="宋体" w:hAnsi="宋体" w:cs="宋体"/>
                <w:color w:val="000000"/>
                <w:kern w:val="0"/>
                <w:sz w:val="24"/>
                <w:szCs w:val="24"/>
              </w:rPr>
            </w:pPr>
            <w:r>
              <w:rPr>
                <w:rFonts w:hint="eastAsia" w:ascii="宋体" w:hAnsi="宋体" w:cs="宋体"/>
                <w:color w:val="000000"/>
                <w:kern w:val="0"/>
                <w:sz w:val="24"/>
                <w:szCs w:val="24"/>
              </w:rPr>
              <w:t>/</w:t>
            </w:r>
          </w:p>
        </w:tc>
      </w:tr>
    </w:tbl>
    <w:p>
      <w:pPr>
        <w:spacing w:before="156" w:beforeLines="50" w:after="156" w:afterLines="50" w:line="440" w:lineRule="exact"/>
        <w:rPr>
          <w:rFonts w:ascii="宋体" w:hAnsi="宋体" w:cs="Arial"/>
          <w:b/>
          <w:sz w:val="24"/>
          <w:szCs w:val="24"/>
        </w:rPr>
      </w:pPr>
      <w:r>
        <w:rPr>
          <w:rFonts w:hint="eastAsia" w:ascii="宋体" w:hAnsi="宋体" w:cs="Arial"/>
          <w:b/>
          <w:sz w:val="24"/>
          <w:szCs w:val="24"/>
        </w:rPr>
        <w:t>第二十二条  产品质保里程</w:t>
      </w:r>
    </w:p>
    <w:tbl>
      <w:tblPr>
        <w:tblStyle w:val="9"/>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序号</w:t>
            </w:r>
          </w:p>
        </w:tc>
        <w:tc>
          <w:tcPr>
            <w:tcW w:w="2268"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零部件</w:t>
            </w:r>
            <w:r>
              <w:rPr>
                <w:rFonts w:ascii="宋体" w:hAnsi="宋体" w:cs="Arial"/>
                <w:sz w:val="24"/>
                <w:szCs w:val="24"/>
              </w:rPr>
              <w:t>名称</w:t>
            </w:r>
          </w:p>
        </w:tc>
        <w:tc>
          <w:tcPr>
            <w:tcW w:w="5303" w:type="dxa"/>
          </w:tcPr>
          <w:p>
            <w:pPr>
              <w:spacing w:before="156" w:beforeLines="50" w:after="156" w:afterLines="50" w:line="440" w:lineRule="exact"/>
              <w:ind w:firstLine="1200" w:firstLineChars="500"/>
              <w:rPr>
                <w:rFonts w:ascii="宋体" w:hAnsi="宋体" w:cs="Arial"/>
                <w:sz w:val="24"/>
                <w:szCs w:val="24"/>
              </w:rPr>
            </w:pPr>
            <w:r>
              <w:rPr>
                <w:rFonts w:hint="eastAsia" w:ascii="宋体" w:hAnsi="宋体" w:cs="Arial"/>
                <w:sz w:val="24"/>
                <w:szCs w:val="24"/>
              </w:rPr>
              <w:t>质保里程</w:t>
            </w:r>
            <w:r>
              <w:rPr>
                <w:rFonts w:ascii="宋体" w:hAnsi="宋体" w:cs="Arial"/>
                <w:sz w:val="24"/>
                <w:szCs w:val="24"/>
              </w:rPr>
              <w:t>（</w:t>
            </w:r>
            <w:r>
              <w:rPr>
                <w:rFonts w:hint="eastAsia" w:ascii="宋体" w:hAnsi="宋体" w:cs="Arial"/>
                <w:sz w:val="24"/>
                <w:szCs w:val="24"/>
              </w:rPr>
              <w:t>年/K</w:t>
            </w:r>
            <w:r>
              <w:rPr>
                <w:rFonts w:ascii="宋体" w:hAnsi="宋体" w:cs="Arial"/>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46"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1</w:t>
            </w:r>
          </w:p>
        </w:tc>
        <w:tc>
          <w:tcPr>
            <w:tcW w:w="2268" w:type="dxa"/>
          </w:tcPr>
          <w:p>
            <w:pPr>
              <w:spacing w:before="156" w:beforeLines="50" w:after="156" w:afterLines="50" w:line="440" w:lineRule="exact"/>
              <w:rPr>
                <w:rFonts w:ascii="宋体" w:hAnsi="宋体" w:cs="Arial"/>
                <w:szCs w:val="21"/>
              </w:rPr>
            </w:pPr>
            <w:r>
              <w:rPr>
                <w:rFonts w:hint="eastAsia" w:ascii="宋体" w:hAnsi="宋体" w:cs="Arial"/>
                <w:szCs w:val="21"/>
              </w:rPr>
              <w:t>手动主驾驶座椅低配</w:t>
            </w:r>
          </w:p>
        </w:tc>
        <w:tc>
          <w:tcPr>
            <w:tcW w:w="5303"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2年/10万公里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46"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2</w:t>
            </w:r>
          </w:p>
        </w:tc>
        <w:tc>
          <w:tcPr>
            <w:tcW w:w="2268" w:type="dxa"/>
          </w:tcPr>
          <w:p>
            <w:pPr>
              <w:spacing w:before="156" w:beforeLines="50" w:after="156" w:afterLines="50" w:line="440" w:lineRule="exact"/>
              <w:rPr>
                <w:rFonts w:ascii="宋体" w:hAnsi="宋体" w:cs="Arial"/>
                <w:szCs w:val="21"/>
              </w:rPr>
            </w:pPr>
            <w:r>
              <w:rPr>
                <w:rFonts w:hint="eastAsia" w:ascii="宋体" w:hAnsi="宋体" w:cs="Arial"/>
                <w:szCs w:val="21"/>
              </w:rPr>
              <w:t>手动主驾驶座椅高配</w:t>
            </w:r>
          </w:p>
        </w:tc>
        <w:tc>
          <w:tcPr>
            <w:tcW w:w="5303"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2年/10万公里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46"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3</w:t>
            </w:r>
          </w:p>
        </w:tc>
        <w:tc>
          <w:tcPr>
            <w:tcW w:w="2268" w:type="dxa"/>
          </w:tcPr>
          <w:p>
            <w:pPr>
              <w:spacing w:before="156" w:beforeLines="50" w:after="156" w:afterLines="50" w:line="440" w:lineRule="exact"/>
            </w:pPr>
            <w:r>
              <w:rPr>
                <w:rFonts w:hint="eastAsia"/>
              </w:rPr>
              <w:t>电动主驾驶座椅</w:t>
            </w:r>
          </w:p>
        </w:tc>
        <w:tc>
          <w:tcPr>
            <w:tcW w:w="5303"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2年/10万公里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46"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4</w:t>
            </w:r>
          </w:p>
        </w:tc>
        <w:tc>
          <w:tcPr>
            <w:tcW w:w="2268" w:type="dxa"/>
          </w:tcPr>
          <w:p>
            <w:pPr>
              <w:spacing w:before="156" w:beforeLines="50" w:after="156" w:afterLines="50" w:line="440" w:lineRule="exact"/>
            </w:pPr>
            <w:r>
              <w:rPr>
                <w:rFonts w:hint="eastAsia"/>
              </w:rPr>
              <w:t>乘客座椅低配</w:t>
            </w:r>
          </w:p>
        </w:tc>
        <w:tc>
          <w:tcPr>
            <w:tcW w:w="5303"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2年/10万公里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6" w:type="dxa"/>
          </w:tcPr>
          <w:p>
            <w:pPr>
              <w:spacing w:before="156" w:beforeLines="50" w:after="156" w:afterLines="50" w:line="440" w:lineRule="exact"/>
              <w:ind w:firstLine="240" w:firstLineChars="100"/>
              <w:rPr>
                <w:rFonts w:ascii="宋体" w:hAnsi="宋体" w:cs="Arial"/>
                <w:sz w:val="24"/>
                <w:szCs w:val="24"/>
              </w:rPr>
            </w:pPr>
            <w:r>
              <w:rPr>
                <w:rFonts w:hint="eastAsia" w:ascii="宋体" w:hAnsi="宋体" w:cs="Arial"/>
                <w:sz w:val="24"/>
                <w:szCs w:val="24"/>
              </w:rPr>
              <w:t>5</w:t>
            </w:r>
          </w:p>
        </w:tc>
        <w:tc>
          <w:tcPr>
            <w:tcW w:w="2268" w:type="dxa"/>
          </w:tcPr>
          <w:p>
            <w:pPr>
              <w:spacing w:before="156" w:beforeLines="50" w:after="156" w:afterLines="50" w:line="440" w:lineRule="exact"/>
              <w:rPr>
                <w:rFonts w:ascii="宋体" w:hAnsi="宋体" w:cs="Arial"/>
                <w:sz w:val="24"/>
                <w:szCs w:val="24"/>
              </w:rPr>
            </w:pPr>
            <w:r>
              <w:rPr>
                <w:rFonts w:hint="eastAsia"/>
              </w:rPr>
              <w:t>乘客座椅高配</w:t>
            </w:r>
          </w:p>
        </w:tc>
        <w:tc>
          <w:tcPr>
            <w:tcW w:w="5303" w:type="dxa"/>
          </w:tcPr>
          <w:p>
            <w:pPr>
              <w:spacing w:before="156" w:beforeLines="50" w:after="156" w:afterLines="50" w:line="440" w:lineRule="exact"/>
              <w:rPr>
                <w:rFonts w:ascii="宋体" w:hAnsi="宋体" w:cs="Arial"/>
                <w:sz w:val="24"/>
                <w:szCs w:val="24"/>
              </w:rPr>
            </w:pPr>
            <w:r>
              <w:rPr>
                <w:rFonts w:hint="eastAsia" w:ascii="宋体" w:hAnsi="宋体" w:cs="Arial"/>
                <w:sz w:val="24"/>
                <w:szCs w:val="24"/>
              </w:rPr>
              <w:t>2年/10万公里</w:t>
            </w:r>
          </w:p>
        </w:tc>
      </w:tr>
    </w:tbl>
    <w:p>
      <w:pPr>
        <w:spacing w:before="156" w:beforeLines="50" w:after="156" w:afterLines="50" w:line="440" w:lineRule="exact"/>
        <w:ind w:firstLine="480" w:firstLineChars="200"/>
        <w:rPr>
          <w:rFonts w:ascii="宋体" w:hAnsi="宋体" w:cs="Arial"/>
          <w:sz w:val="24"/>
          <w:szCs w:val="24"/>
        </w:rPr>
      </w:pPr>
      <w:r>
        <w:rPr>
          <w:rFonts w:hint="eastAsia" w:ascii="宋体" w:hAnsi="宋体" w:cs="Arial"/>
          <w:sz w:val="24"/>
          <w:szCs w:val="24"/>
        </w:rPr>
        <w:t>附件1：《产品开发技术协议》</w:t>
      </w:r>
    </w:p>
    <w:p>
      <w:pPr>
        <w:spacing w:before="156" w:beforeLines="50" w:after="156" w:afterLines="50" w:line="440" w:lineRule="exact"/>
        <w:ind w:firstLine="480" w:firstLineChars="200"/>
        <w:rPr>
          <w:rFonts w:ascii="宋体" w:hAnsi="宋体"/>
          <w:sz w:val="24"/>
          <w:szCs w:val="24"/>
        </w:rPr>
      </w:pPr>
      <w:r>
        <w:rPr>
          <w:rFonts w:hint="eastAsia" w:ascii="宋体" w:hAnsi="宋体"/>
          <w:sz w:val="24"/>
          <w:szCs w:val="24"/>
        </w:rPr>
        <w:t>附件2：《外购件工装资产清单》</w:t>
      </w:r>
    </w:p>
    <w:p>
      <w:pPr>
        <w:spacing w:before="156" w:beforeLines="50" w:after="156" w:afterLines="50" w:line="440" w:lineRule="exact"/>
        <w:ind w:firstLine="480" w:firstLineChars="200"/>
        <w:rPr>
          <w:rFonts w:ascii="宋体" w:hAnsi="宋体" w:cs="Arial"/>
          <w:sz w:val="24"/>
          <w:szCs w:val="24"/>
        </w:rPr>
      </w:pPr>
    </w:p>
    <w:p>
      <w:pPr>
        <w:spacing w:before="156" w:beforeLines="50" w:after="156" w:afterLines="50" w:line="440" w:lineRule="exact"/>
        <w:ind w:firstLine="480" w:firstLineChars="200"/>
        <w:rPr>
          <w:rFonts w:ascii="宋体" w:hAnsi="宋体" w:cs="Arial"/>
          <w:sz w:val="24"/>
          <w:szCs w:val="24"/>
        </w:rPr>
      </w:pPr>
      <w:r>
        <w:rPr>
          <w:rFonts w:hint="eastAsia" w:ascii="宋体" w:hAnsi="宋体" w:cs="Arial"/>
          <w:sz w:val="24"/>
          <w:szCs w:val="24"/>
        </w:rPr>
        <w:t>以下无正文</w:t>
      </w:r>
    </w:p>
    <w:bookmarkEnd w:id="2"/>
    <w:tbl>
      <w:tblPr>
        <w:tblStyle w:val="8"/>
        <w:tblpPr w:leftFromText="180" w:rightFromText="180" w:vertAnchor="text" w:horzAnchor="margin" w:tblpY="1238"/>
        <w:tblW w:w="8265" w:type="dxa"/>
        <w:tblInd w:w="0" w:type="dxa"/>
        <w:tblLayout w:type="fixed"/>
        <w:tblCellMar>
          <w:top w:w="0" w:type="dxa"/>
          <w:left w:w="108" w:type="dxa"/>
          <w:bottom w:w="0" w:type="dxa"/>
          <w:right w:w="108" w:type="dxa"/>
        </w:tblCellMar>
      </w:tblPr>
      <w:tblGrid>
        <w:gridCol w:w="4133"/>
        <w:gridCol w:w="4132"/>
      </w:tblGrid>
      <w:tr>
        <w:tblPrEx>
          <w:tblCellMar>
            <w:top w:w="0" w:type="dxa"/>
            <w:left w:w="108" w:type="dxa"/>
            <w:bottom w:w="0" w:type="dxa"/>
            <w:right w:w="108" w:type="dxa"/>
          </w:tblCellMar>
        </w:tblPrEx>
        <w:trPr>
          <w:trHeight w:val="3971" w:hRule="atLeast"/>
        </w:trPr>
        <w:tc>
          <w:tcPr>
            <w:tcW w:w="4133" w:type="dxa"/>
          </w:tcPr>
          <w:p>
            <w:pPr>
              <w:adjustRightInd w:val="0"/>
              <w:snapToGrid w:val="0"/>
              <w:spacing w:before="78" w:beforeLines="25" w:after="78" w:afterLines="25" w:line="440" w:lineRule="exact"/>
              <w:ind w:left="1800" w:hanging="1800" w:hangingChars="750"/>
              <w:rPr>
                <w:rFonts w:ascii="宋体" w:hAnsi="宋体" w:cs="Arial"/>
                <w:sz w:val="24"/>
                <w:szCs w:val="24"/>
              </w:rPr>
            </w:pPr>
            <w:r>
              <w:rPr>
                <w:rFonts w:hint="eastAsia" w:ascii="宋体" w:hAnsi="宋体" w:cs="Arial"/>
                <w:sz w:val="24"/>
                <w:szCs w:val="24"/>
              </w:rPr>
              <w:t>甲方：</w:t>
            </w:r>
            <w:r>
              <w:rPr>
                <w:rFonts w:ascii="宋体" w:hAnsi="宋体" w:cs="Arial"/>
                <w:sz w:val="24"/>
                <w:szCs w:val="24"/>
              </w:rPr>
              <w:t xml:space="preserve"> </w:t>
            </w:r>
            <w:r>
              <w:rPr>
                <w:rFonts w:hint="eastAsia" w:ascii="宋体" w:hAnsi="宋体" w:cs="Arial"/>
                <w:sz w:val="24"/>
                <w:szCs w:val="24"/>
              </w:rPr>
              <w:t>浙江远程商用车研发有限公司</w:t>
            </w:r>
          </w:p>
          <w:p>
            <w:pPr>
              <w:adjustRightInd w:val="0"/>
              <w:snapToGrid w:val="0"/>
              <w:spacing w:before="78" w:beforeLines="25" w:after="78" w:afterLines="25" w:line="440" w:lineRule="exact"/>
              <w:ind w:left="1440" w:hanging="1440" w:hangingChars="600"/>
              <w:rPr>
                <w:rFonts w:ascii="宋体" w:hAnsi="宋体" w:cs="Arial"/>
                <w:sz w:val="24"/>
                <w:szCs w:val="24"/>
              </w:rPr>
            </w:pPr>
          </w:p>
          <w:p>
            <w:pPr>
              <w:adjustRightInd w:val="0"/>
              <w:snapToGrid w:val="0"/>
              <w:spacing w:before="78" w:beforeLines="25" w:after="78" w:afterLines="25" w:line="440" w:lineRule="exact"/>
              <w:ind w:left="1440" w:hanging="1440" w:hangingChars="600"/>
              <w:rPr>
                <w:rFonts w:ascii="宋体" w:hAnsi="宋体" w:cs="Arial"/>
                <w:sz w:val="24"/>
                <w:szCs w:val="24"/>
              </w:rPr>
            </w:pPr>
            <w:r>
              <w:rPr>
                <w:rFonts w:hint="eastAsia" w:ascii="宋体" w:hAnsi="宋体" w:cs="Arial"/>
                <w:sz w:val="24"/>
                <w:szCs w:val="24"/>
              </w:rPr>
              <w:t>法定代表人/授权代表（签字)：</w:t>
            </w:r>
          </w:p>
          <w:p>
            <w:pPr>
              <w:adjustRightInd w:val="0"/>
              <w:snapToGrid w:val="0"/>
              <w:spacing w:before="78" w:beforeLines="25" w:after="78" w:afterLines="25" w:line="440" w:lineRule="exact"/>
              <w:ind w:left="1440" w:hanging="1440" w:hangingChars="600"/>
              <w:rPr>
                <w:rFonts w:ascii="宋体" w:hAnsi="宋体" w:cs="Arial"/>
                <w:sz w:val="24"/>
                <w:szCs w:val="24"/>
              </w:rPr>
            </w:pPr>
            <w:r>
              <w:rPr>
                <w:rFonts w:hint="eastAsia" w:ascii="宋体" w:hAnsi="宋体" w:cs="Arial"/>
                <w:sz w:val="24"/>
                <w:szCs w:val="24"/>
              </w:rPr>
              <w:t>（联系人）</w:t>
            </w:r>
          </w:p>
          <w:p>
            <w:pPr>
              <w:adjustRightInd w:val="0"/>
              <w:snapToGrid w:val="0"/>
              <w:spacing w:before="78" w:beforeLines="25" w:after="78" w:afterLines="25" w:line="440" w:lineRule="exact"/>
              <w:ind w:left="1200" w:hanging="1200" w:hangingChars="500"/>
              <w:rPr>
                <w:rFonts w:ascii="宋体" w:hAnsi="宋体" w:cs="Arial"/>
                <w:sz w:val="24"/>
                <w:szCs w:val="24"/>
              </w:rPr>
            </w:pPr>
            <w:r>
              <w:rPr>
                <w:rFonts w:hint="eastAsia" w:ascii="宋体" w:hAnsi="宋体" w:cs="Arial"/>
                <w:sz w:val="24"/>
                <w:szCs w:val="24"/>
              </w:rPr>
              <w:t>通讯地址：</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电话：</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E-mail:</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 xml:space="preserve">开户行： </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帐号：</w:t>
            </w:r>
          </w:p>
          <w:p>
            <w:pPr>
              <w:adjustRightInd w:val="0"/>
              <w:snapToGrid w:val="0"/>
              <w:spacing w:before="78" w:beforeLines="25" w:after="78" w:afterLines="25" w:line="440" w:lineRule="exact"/>
              <w:rPr>
                <w:rFonts w:ascii="宋体" w:hAnsi="宋体" w:cs="Arial"/>
                <w:sz w:val="24"/>
                <w:szCs w:val="24"/>
              </w:rPr>
            </w:pPr>
          </w:p>
        </w:tc>
        <w:tc>
          <w:tcPr>
            <w:tcW w:w="4132" w:type="dxa"/>
          </w:tcPr>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乙方：北京光华荣昌汽车部件有限公司</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法定代表人/授权代表（签字)：</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（联系人）</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通讯地址：</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电话：</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 xml:space="preserve"> E-mail:</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 xml:space="preserve">开户行： </w:t>
            </w:r>
          </w:p>
          <w:p>
            <w:pPr>
              <w:adjustRightInd w:val="0"/>
              <w:snapToGrid w:val="0"/>
              <w:spacing w:before="78" w:beforeLines="25" w:after="78" w:afterLines="25" w:line="440" w:lineRule="exact"/>
              <w:rPr>
                <w:rFonts w:ascii="宋体" w:hAnsi="宋体" w:cs="Arial"/>
                <w:sz w:val="24"/>
                <w:szCs w:val="24"/>
              </w:rPr>
            </w:pPr>
            <w:r>
              <w:rPr>
                <w:rFonts w:hint="eastAsia" w:ascii="宋体" w:hAnsi="宋体" w:cs="Arial"/>
                <w:sz w:val="24"/>
                <w:szCs w:val="24"/>
              </w:rPr>
              <w:t xml:space="preserve">帐号：  </w:t>
            </w:r>
          </w:p>
        </w:tc>
      </w:tr>
    </w:tbl>
    <w:p>
      <w:pPr>
        <w:adjustRightInd w:val="0"/>
        <w:rPr>
          <w:rFonts w:ascii="宋体" w:hAnsi="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721316"/>
    </w:sdtPr>
    <w:sdtContent>
      <w:p>
        <w:pPr>
          <w:pStyle w:val="4"/>
          <w:jc w:val="center"/>
        </w:pPr>
        <w:r>
          <w:fldChar w:fldCharType="begin"/>
        </w:r>
        <w:r>
          <w:instrText xml:space="preserve">PAGE   \* MERGEFORMAT</w:instrText>
        </w:r>
        <w:r>
          <w:fldChar w:fldCharType="separate"/>
        </w:r>
        <w:r>
          <w:rPr>
            <w:lang w:val="zh-CN"/>
          </w:rPr>
          <w:t>24</w:t>
        </w:r>
        <w:r>
          <w:fldChar w:fldCharType="end"/>
        </w:r>
      </w:p>
    </w:sdtContent>
  </w:sdt>
  <w:p>
    <w:pPr>
      <w:pStyle w:val="4"/>
      <w:jc w:val="center"/>
      <w:rPr>
        <w:rFonts w:asciiTheme="minorEastAsia" w:hAnsiTheme="minorEastAsia" w:eastAsiaTheme="minorEastAsia"/>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F210D"/>
    <w:multiLevelType w:val="multilevel"/>
    <w:tmpl w:val="611F21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iZDVkZGI5MTI1ZjhjZmY0ZjcwMjljYTEzOTAzM2UifQ=="/>
  </w:docVars>
  <w:rsids>
    <w:rsidRoot w:val="00FD5325"/>
    <w:rsid w:val="000040BC"/>
    <w:rsid w:val="00015B33"/>
    <w:rsid w:val="000164CC"/>
    <w:rsid w:val="00027DF8"/>
    <w:rsid w:val="00036E73"/>
    <w:rsid w:val="00041F63"/>
    <w:rsid w:val="00050D27"/>
    <w:rsid w:val="000534CF"/>
    <w:rsid w:val="00053F41"/>
    <w:rsid w:val="00070BAF"/>
    <w:rsid w:val="00090209"/>
    <w:rsid w:val="000A0D06"/>
    <w:rsid w:val="000D4E4B"/>
    <w:rsid w:val="000E0F5C"/>
    <w:rsid w:val="000E41E6"/>
    <w:rsid w:val="0010532C"/>
    <w:rsid w:val="00112A26"/>
    <w:rsid w:val="001144FA"/>
    <w:rsid w:val="00125E43"/>
    <w:rsid w:val="00140895"/>
    <w:rsid w:val="001479FD"/>
    <w:rsid w:val="00173250"/>
    <w:rsid w:val="001B1975"/>
    <w:rsid w:val="001C4071"/>
    <w:rsid w:val="001F53A3"/>
    <w:rsid w:val="00214722"/>
    <w:rsid w:val="0021556B"/>
    <w:rsid w:val="002328F3"/>
    <w:rsid w:val="002335CA"/>
    <w:rsid w:val="0024286D"/>
    <w:rsid w:val="00245E6E"/>
    <w:rsid w:val="002553F1"/>
    <w:rsid w:val="00264A2D"/>
    <w:rsid w:val="00271049"/>
    <w:rsid w:val="002768AB"/>
    <w:rsid w:val="002A428C"/>
    <w:rsid w:val="002A4A42"/>
    <w:rsid w:val="002A72AB"/>
    <w:rsid w:val="003034DB"/>
    <w:rsid w:val="00310956"/>
    <w:rsid w:val="003540A0"/>
    <w:rsid w:val="0035772C"/>
    <w:rsid w:val="00365BCB"/>
    <w:rsid w:val="003A0212"/>
    <w:rsid w:val="003A51AD"/>
    <w:rsid w:val="003A608B"/>
    <w:rsid w:val="003C40BE"/>
    <w:rsid w:val="003D04A9"/>
    <w:rsid w:val="003D6D43"/>
    <w:rsid w:val="003E12A6"/>
    <w:rsid w:val="003E1D0C"/>
    <w:rsid w:val="003E25C5"/>
    <w:rsid w:val="003F31D2"/>
    <w:rsid w:val="003F3C88"/>
    <w:rsid w:val="003F458D"/>
    <w:rsid w:val="00403258"/>
    <w:rsid w:val="00421CA9"/>
    <w:rsid w:val="0042206A"/>
    <w:rsid w:val="0042406E"/>
    <w:rsid w:val="004262CF"/>
    <w:rsid w:val="004674CE"/>
    <w:rsid w:val="00470D09"/>
    <w:rsid w:val="00475281"/>
    <w:rsid w:val="00495DB5"/>
    <w:rsid w:val="004A744C"/>
    <w:rsid w:val="004B7FBB"/>
    <w:rsid w:val="004C4E97"/>
    <w:rsid w:val="00523583"/>
    <w:rsid w:val="00531D4F"/>
    <w:rsid w:val="00542C06"/>
    <w:rsid w:val="00543F18"/>
    <w:rsid w:val="005535A5"/>
    <w:rsid w:val="005638FF"/>
    <w:rsid w:val="00582D17"/>
    <w:rsid w:val="00591ACE"/>
    <w:rsid w:val="005963B5"/>
    <w:rsid w:val="005A7286"/>
    <w:rsid w:val="005B5D2B"/>
    <w:rsid w:val="005C2229"/>
    <w:rsid w:val="005C2B37"/>
    <w:rsid w:val="005C3A4D"/>
    <w:rsid w:val="005F03E1"/>
    <w:rsid w:val="00600D48"/>
    <w:rsid w:val="00615D33"/>
    <w:rsid w:val="00626BF2"/>
    <w:rsid w:val="00643A7D"/>
    <w:rsid w:val="00660504"/>
    <w:rsid w:val="00661065"/>
    <w:rsid w:val="006756D1"/>
    <w:rsid w:val="00676FF5"/>
    <w:rsid w:val="0068060A"/>
    <w:rsid w:val="006C30A1"/>
    <w:rsid w:val="006D7CC4"/>
    <w:rsid w:val="0070300E"/>
    <w:rsid w:val="007070CB"/>
    <w:rsid w:val="00724224"/>
    <w:rsid w:val="0073298F"/>
    <w:rsid w:val="00745100"/>
    <w:rsid w:val="007531C8"/>
    <w:rsid w:val="007531F7"/>
    <w:rsid w:val="007728C1"/>
    <w:rsid w:val="00772BBD"/>
    <w:rsid w:val="007827E8"/>
    <w:rsid w:val="00783EBE"/>
    <w:rsid w:val="00793908"/>
    <w:rsid w:val="0079409D"/>
    <w:rsid w:val="007A2761"/>
    <w:rsid w:val="007C434D"/>
    <w:rsid w:val="007E12DA"/>
    <w:rsid w:val="00851E5E"/>
    <w:rsid w:val="008843FB"/>
    <w:rsid w:val="00891F69"/>
    <w:rsid w:val="0089342C"/>
    <w:rsid w:val="008979C6"/>
    <w:rsid w:val="008A33BB"/>
    <w:rsid w:val="008D5177"/>
    <w:rsid w:val="008F29DE"/>
    <w:rsid w:val="008F5C98"/>
    <w:rsid w:val="00913F68"/>
    <w:rsid w:val="00941887"/>
    <w:rsid w:val="00953F88"/>
    <w:rsid w:val="00982BB3"/>
    <w:rsid w:val="0098488C"/>
    <w:rsid w:val="00986851"/>
    <w:rsid w:val="00996E1C"/>
    <w:rsid w:val="009A06B3"/>
    <w:rsid w:val="009C26AC"/>
    <w:rsid w:val="009C6A4D"/>
    <w:rsid w:val="009D51A6"/>
    <w:rsid w:val="009E1E78"/>
    <w:rsid w:val="00A005FE"/>
    <w:rsid w:val="00A0732C"/>
    <w:rsid w:val="00A41185"/>
    <w:rsid w:val="00A4197D"/>
    <w:rsid w:val="00A70614"/>
    <w:rsid w:val="00A821F3"/>
    <w:rsid w:val="00A854F3"/>
    <w:rsid w:val="00AA2138"/>
    <w:rsid w:val="00AA7A80"/>
    <w:rsid w:val="00AA7F61"/>
    <w:rsid w:val="00AB5377"/>
    <w:rsid w:val="00AC56F8"/>
    <w:rsid w:val="00AD62A9"/>
    <w:rsid w:val="00B02820"/>
    <w:rsid w:val="00B31824"/>
    <w:rsid w:val="00B65BAC"/>
    <w:rsid w:val="00B800CB"/>
    <w:rsid w:val="00BB54BF"/>
    <w:rsid w:val="00BC541F"/>
    <w:rsid w:val="00BD5F74"/>
    <w:rsid w:val="00BF3446"/>
    <w:rsid w:val="00C1547F"/>
    <w:rsid w:val="00C16ABC"/>
    <w:rsid w:val="00C31D94"/>
    <w:rsid w:val="00C337D6"/>
    <w:rsid w:val="00C37591"/>
    <w:rsid w:val="00C44449"/>
    <w:rsid w:val="00C72B69"/>
    <w:rsid w:val="00C73B17"/>
    <w:rsid w:val="00CB2B1C"/>
    <w:rsid w:val="00CC4F7F"/>
    <w:rsid w:val="00CF644A"/>
    <w:rsid w:val="00D07064"/>
    <w:rsid w:val="00D12FD1"/>
    <w:rsid w:val="00D27B31"/>
    <w:rsid w:val="00D50D9F"/>
    <w:rsid w:val="00D5172F"/>
    <w:rsid w:val="00D5737F"/>
    <w:rsid w:val="00D74EE3"/>
    <w:rsid w:val="00D93813"/>
    <w:rsid w:val="00D944AD"/>
    <w:rsid w:val="00DD10A8"/>
    <w:rsid w:val="00DF5640"/>
    <w:rsid w:val="00E02225"/>
    <w:rsid w:val="00E13991"/>
    <w:rsid w:val="00E15D4F"/>
    <w:rsid w:val="00E23563"/>
    <w:rsid w:val="00E35832"/>
    <w:rsid w:val="00E53BDE"/>
    <w:rsid w:val="00E96FB1"/>
    <w:rsid w:val="00F01E71"/>
    <w:rsid w:val="00F23E2E"/>
    <w:rsid w:val="00F30569"/>
    <w:rsid w:val="00F364DA"/>
    <w:rsid w:val="00F658FB"/>
    <w:rsid w:val="00F67772"/>
    <w:rsid w:val="00F83FD0"/>
    <w:rsid w:val="00F9065B"/>
    <w:rsid w:val="00F90A6C"/>
    <w:rsid w:val="00FA4844"/>
    <w:rsid w:val="00FB56BC"/>
    <w:rsid w:val="00FC60D1"/>
    <w:rsid w:val="00FC6530"/>
    <w:rsid w:val="00FD5325"/>
    <w:rsid w:val="00FF6F52"/>
    <w:rsid w:val="33373650"/>
    <w:rsid w:val="34332516"/>
    <w:rsid w:val="5395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link w:val="20"/>
    <w:semiHidden/>
    <w:unhideWhenUsed/>
    <w:uiPriority w:val="99"/>
    <w:pPr>
      <w:snapToGrid w:val="0"/>
      <w:jc w:val="left"/>
    </w:pPr>
    <w:rPr>
      <w:sz w:val="18"/>
      <w:szCs w:val="18"/>
    </w:rPr>
  </w:style>
  <w:style w:type="paragraph" w:styleId="7">
    <w:name w:val="annotation subject"/>
    <w:basedOn w:val="2"/>
    <w:next w:val="2"/>
    <w:link w:val="18"/>
    <w:semiHidden/>
    <w:unhideWhenUsed/>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21"/>
      <w:szCs w:val="21"/>
    </w:rPr>
  </w:style>
  <w:style w:type="character" w:styleId="12">
    <w:name w:val="footnote reference"/>
    <w:semiHidden/>
    <w:unhideWhenUsed/>
    <w:uiPriority w:val="99"/>
    <w:rPr>
      <w:vertAlign w:val="superscript"/>
    </w:rPr>
  </w:style>
  <w:style w:type="character" w:customStyle="1" w:styleId="13">
    <w:name w:val="页眉 字符"/>
    <w:basedOn w:val="10"/>
    <w:link w:val="5"/>
    <w:uiPriority w:val="99"/>
    <w:rPr>
      <w:rFonts w:ascii="Calibri" w:hAnsi="Calibri" w:eastAsia="宋体" w:cs="Times New Roman"/>
      <w:kern w:val="0"/>
      <w:sz w:val="18"/>
      <w:szCs w:val="18"/>
    </w:rPr>
  </w:style>
  <w:style w:type="character" w:customStyle="1" w:styleId="14">
    <w:name w:val="页脚 字符"/>
    <w:basedOn w:val="10"/>
    <w:link w:val="4"/>
    <w:uiPriority w:val="99"/>
    <w:rPr>
      <w:rFonts w:ascii="Calibri" w:hAnsi="Calibri" w:eastAsia="宋体" w:cs="Times New Roman"/>
      <w:kern w:val="0"/>
      <w:sz w:val="18"/>
      <w:szCs w:val="18"/>
    </w:rPr>
  </w:style>
  <w:style w:type="character" w:customStyle="1" w:styleId="15">
    <w:name w:val="批注文字 字符"/>
    <w:basedOn w:val="10"/>
    <w:link w:val="2"/>
    <w:uiPriority w:val="99"/>
    <w:rPr>
      <w:rFonts w:ascii="Calibri" w:hAnsi="Calibri" w:eastAsia="宋体" w:cs="Times New Roman"/>
    </w:rPr>
  </w:style>
  <w:style w:type="character" w:customStyle="1" w:styleId="16">
    <w:name w:val="批注框文本 字符"/>
    <w:basedOn w:val="10"/>
    <w:link w:val="3"/>
    <w:semiHidden/>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主题 字符"/>
    <w:basedOn w:val="15"/>
    <w:link w:val="7"/>
    <w:semiHidden/>
    <w:uiPriority w:val="99"/>
    <w:rPr>
      <w:rFonts w:ascii="Calibri" w:hAnsi="Calibri" w:eastAsia="宋体" w:cs="Times New Roman"/>
      <w:b/>
      <w:bCs/>
    </w:rPr>
  </w:style>
  <w:style w:type="paragraph" w:customStyle="1" w:styleId="19">
    <w:name w:val="修订1"/>
    <w:hidden/>
    <w:semiHidden/>
    <w:uiPriority w:val="99"/>
    <w:rPr>
      <w:rFonts w:ascii="Calibri" w:hAnsi="Calibri" w:eastAsia="宋体" w:cs="Times New Roman"/>
      <w:kern w:val="2"/>
      <w:sz w:val="21"/>
      <w:szCs w:val="22"/>
      <w:lang w:val="en-US" w:eastAsia="zh-CN" w:bidi="ar-SA"/>
    </w:rPr>
  </w:style>
  <w:style w:type="character" w:customStyle="1" w:styleId="20">
    <w:name w:val="脚注文本 字符"/>
    <w:basedOn w:val="10"/>
    <w:link w:val="6"/>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C6AC-4793-4D98-9F27-0D85191BC590}">
  <ds:schemaRefs/>
</ds:datastoreItem>
</file>

<file path=docProps/app.xml><?xml version="1.0" encoding="utf-8"?>
<Properties xmlns="http://schemas.openxmlformats.org/officeDocument/2006/extended-properties" xmlns:vt="http://schemas.openxmlformats.org/officeDocument/2006/docPropsVTypes">
  <Template>Normal</Template>
  <Company>Geely.com</Company>
  <Pages>24</Pages>
  <Words>2434</Words>
  <Characters>13877</Characters>
  <Lines>115</Lines>
  <Paragraphs>32</Paragraphs>
  <TotalTime>1999</TotalTime>
  <ScaleCrop>false</ScaleCrop>
  <LinksUpToDate>false</LinksUpToDate>
  <CharactersWithSpaces>16279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2021-03-04T01:35:00Z</dcterms:created>
  <dc:creator>fancy</dc:creator>
  <cp:lastModifiedBy>Administrator</cp:lastModifiedBy>
  <cp:lastPrinted>2020-10-09T14:52:00Z</cp:lastPrinted>
  <dcterms:modified xsi:type="dcterms:W3CDTF">2023-01-03T02:50:40Z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FD1EB5B4F94F4A659FACA70AAA889578</vt:lpwstr>
  </property>
</Properties>
</file>