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8C3F48">
        <w:rPr>
          <w:rFonts w:ascii="仿宋" w:eastAsia="仿宋" w:hAnsi="仿宋" w:hint="eastAsia"/>
          <w:b/>
          <w:sz w:val="24"/>
          <w:u w:val="single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8C3F48" w:rsidRPr="008C3F48">
        <w:rPr>
          <w:rFonts w:ascii="仿宋" w:eastAsia="仿宋" w:hAnsi="仿宋" w:hint="eastAsia"/>
          <w:b/>
          <w:sz w:val="24"/>
          <w:u w:val="single"/>
        </w:rPr>
        <w:t>北京瑞隆祥模具有限公司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374"/>
        <w:gridCol w:w="1402"/>
        <w:gridCol w:w="1402"/>
        <w:gridCol w:w="1457"/>
        <w:gridCol w:w="1430"/>
        <w:gridCol w:w="1690"/>
      </w:tblGrid>
      <w:tr w:rsidR="008C3F48" w:rsidRPr="003109A2" w:rsidTr="008C3F48">
        <w:tc>
          <w:tcPr>
            <w:tcW w:w="1374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0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57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430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690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8C3F48" w:rsidRPr="003109A2" w:rsidTr="008C3F48">
        <w:trPr>
          <w:trHeight w:val="255"/>
        </w:trPr>
        <w:tc>
          <w:tcPr>
            <w:tcW w:w="1374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02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气管卡扣</w:t>
            </w:r>
          </w:p>
        </w:tc>
        <w:tc>
          <w:tcPr>
            <w:tcW w:w="140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.226</w:t>
            </w:r>
          </w:p>
        </w:tc>
        <w:tc>
          <w:tcPr>
            <w:tcW w:w="1430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260</w:t>
            </w:r>
          </w:p>
        </w:tc>
        <w:tc>
          <w:tcPr>
            <w:tcW w:w="1690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件</w:t>
            </w:r>
          </w:p>
        </w:tc>
      </w:tr>
      <w:tr w:rsidR="008C3F48" w:rsidRPr="003109A2" w:rsidTr="008C3F48">
        <w:trPr>
          <w:trHeight w:val="210"/>
        </w:trPr>
        <w:tc>
          <w:tcPr>
            <w:tcW w:w="1374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02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4mm卡箍</w:t>
            </w:r>
          </w:p>
        </w:tc>
        <w:tc>
          <w:tcPr>
            <w:tcW w:w="1402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4mm</w:t>
            </w:r>
          </w:p>
        </w:tc>
        <w:tc>
          <w:tcPr>
            <w:tcW w:w="1457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.153</w:t>
            </w:r>
          </w:p>
        </w:tc>
        <w:tc>
          <w:tcPr>
            <w:tcW w:w="1430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050</w:t>
            </w:r>
          </w:p>
        </w:tc>
        <w:tc>
          <w:tcPr>
            <w:tcW w:w="1690" w:type="dxa"/>
          </w:tcPr>
          <w:p w:rsidR="000E4F91" w:rsidRPr="003109A2" w:rsidRDefault="008C3F48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件</w:t>
            </w:r>
          </w:p>
        </w:tc>
      </w:tr>
      <w:tr w:rsidR="000E4F91" w:rsidRPr="003109A2" w:rsidTr="008C3F48">
        <w:tc>
          <w:tcPr>
            <w:tcW w:w="8755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8C3F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</w:t>
            </w:r>
            <w:r w:rsidR="008C3F48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320</w:t>
            </w:r>
            <w:r w:rsidR="008C3F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元（大写：伍仟叁佰贰拾元整）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8C3F48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8C3F48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8C3F48">
        <w:rPr>
          <w:rFonts w:ascii="仿宋" w:eastAsia="仿宋" w:hAnsi="仿宋" w:cs="宋体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8C3F4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成都市龙泉</w:t>
      </w:r>
      <w:proofErr w:type="gramStart"/>
      <w:r w:rsidR="008C3F4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驿</w:t>
      </w:r>
      <w:proofErr w:type="gramEnd"/>
      <w:r w:rsidR="008C3F4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区车城东五路2</w:t>
      </w:r>
      <w:r w:rsidR="008C3F48">
        <w:rPr>
          <w:rFonts w:ascii="仿宋" w:eastAsia="仿宋" w:hAnsi="仿宋" w:cs="宋体"/>
          <w:color w:val="000000"/>
          <w:kern w:val="0"/>
          <w:sz w:val="24"/>
          <w:u w:val="single"/>
        </w:rPr>
        <w:t>72</w:t>
      </w:r>
      <w:r w:rsidR="008C3F4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号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8C3F48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C3F48">
        <w:rPr>
          <w:rFonts w:ascii="仿宋" w:eastAsia="仿宋" w:hAnsi="仿宋"/>
          <w:sz w:val="24"/>
          <w:u w:val="single"/>
        </w:rPr>
        <w:t>2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C3F48">
        <w:rPr>
          <w:rFonts w:ascii="仿宋" w:eastAsia="仿宋" w:hAnsi="仿宋"/>
          <w:sz w:val="24"/>
        </w:rPr>
        <w:t>2</w:t>
      </w:r>
      <w:r w:rsidRPr="00C616D9">
        <w:rPr>
          <w:rFonts w:ascii="仿宋" w:eastAsia="仿宋" w:hAnsi="仿宋" w:hint="eastAsia"/>
          <w:sz w:val="24"/>
        </w:rPr>
        <w:t>月</w:t>
      </w:r>
      <w:r w:rsidR="008C3F48">
        <w:rPr>
          <w:rFonts w:ascii="仿宋" w:eastAsia="仿宋" w:hAnsi="仿宋"/>
          <w:sz w:val="24"/>
        </w:rPr>
        <w:t>20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C3F48">
        <w:rPr>
          <w:rFonts w:ascii="仿宋" w:eastAsia="仿宋" w:hAnsi="仿宋"/>
          <w:sz w:val="24"/>
          <w:u w:val="single"/>
        </w:rPr>
        <w:t>2</w:t>
      </w:r>
      <w:r w:rsidRPr="003109A2">
        <w:rPr>
          <w:rFonts w:ascii="仿宋" w:eastAsia="仿宋" w:hAnsi="仿宋" w:hint="eastAsia"/>
          <w:sz w:val="24"/>
        </w:rPr>
        <w:t>年</w:t>
      </w:r>
      <w:r w:rsidR="008C3F48">
        <w:rPr>
          <w:rFonts w:ascii="仿宋" w:eastAsia="仿宋" w:hAnsi="仿宋"/>
          <w:sz w:val="24"/>
        </w:rPr>
        <w:t>2</w:t>
      </w:r>
      <w:r w:rsidRPr="00C616D9">
        <w:rPr>
          <w:rFonts w:ascii="仿宋" w:eastAsia="仿宋" w:hAnsi="仿宋" w:hint="eastAsia"/>
          <w:sz w:val="24"/>
        </w:rPr>
        <w:t>月</w:t>
      </w:r>
      <w:r w:rsidR="008C3F48">
        <w:rPr>
          <w:rFonts w:ascii="仿宋" w:eastAsia="仿宋" w:hAnsi="仿宋"/>
          <w:sz w:val="24"/>
        </w:rPr>
        <w:t>20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8C3F48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8C3F48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8C3F48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F8F" w:rsidRDefault="009A0F8F" w:rsidP="006B1554">
      <w:r>
        <w:separator/>
      </w:r>
    </w:p>
  </w:endnote>
  <w:endnote w:type="continuationSeparator" w:id="0">
    <w:p w:rsidR="009A0F8F" w:rsidRDefault="009A0F8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F8F" w:rsidRDefault="009A0F8F" w:rsidP="006B1554">
      <w:r>
        <w:separator/>
      </w:r>
    </w:p>
  </w:footnote>
  <w:footnote w:type="continuationSeparator" w:id="0">
    <w:p w:rsidR="009A0F8F" w:rsidRDefault="009A0F8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4150602">
    <w:abstractNumId w:val="0"/>
  </w:num>
  <w:num w:numId="2" w16cid:durableId="172598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C3F48"/>
    <w:rsid w:val="008E0822"/>
    <w:rsid w:val="00926C8C"/>
    <w:rsid w:val="00980616"/>
    <w:rsid w:val="009A0F8F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5FA1"/>
  <w15:docId w15:val="{1E25CB2A-01AE-48A5-9E33-0D212B2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郭 林凤</cp:lastModifiedBy>
  <cp:revision>2</cp:revision>
  <dcterms:created xsi:type="dcterms:W3CDTF">2023-02-20T06:11:00Z</dcterms:created>
  <dcterms:modified xsi:type="dcterms:W3CDTF">2023-02-20T06:11:00Z</dcterms:modified>
</cp:coreProperties>
</file>