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bookmarkStart w:id="0" w:name="_GoBack"/>
      <w:bookmarkEnd w:id="0"/>
    </w:p>
    <w:p>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 </w:t>
      </w:r>
      <w:r>
        <w:rPr>
          <w:rFonts w:hint="eastAsia" w:ascii="仿宋" w:hAnsi="仿宋" w:eastAsia="仿宋"/>
          <w:sz w:val="24"/>
          <w:szCs w:val="24"/>
          <w:lang w:val="en-US" w:eastAsia="zh-CN"/>
        </w:rPr>
        <w:t>GHRCHT20230064</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lang w:val="en-US" w:eastAsia="zh-CN"/>
        </w:rPr>
        <w:t>长春</w:t>
      </w:r>
      <w:r>
        <w:rPr>
          <w:rFonts w:hint="eastAsia" w:ascii="仿宋" w:hAnsi="仿宋" w:eastAsia="仿宋"/>
          <w:b/>
          <w:sz w:val="24"/>
          <w:szCs w:val="24"/>
        </w:rPr>
        <w:t>光华荣昌汽车部件有限公司（以下简称甲方）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91220101MA149JDC4T</w:t>
      </w:r>
    </w:p>
    <w:p>
      <w:pPr>
        <w:snapToGrid/>
        <w:spacing w:before="0" w:beforeAutospacing="0" w:after="0" w:afterAutospacing="0" w:line="240" w:lineRule="auto"/>
        <w:jc w:val="both"/>
        <w:textAlignment w:val="baseline"/>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长春市凯圣机械有限公司</w:t>
      </w:r>
      <w:r>
        <w:rPr>
          <w:rFonts w:hint="eastAsia" w:ascii="仿宋" w:hAnsi="仿宋" w:eastAsia="仿宋"/>
          <w:b/>
          <w:sz w:val="24"/>
          <w:szCs w:val="24"/>
        </w:rPr>
        <w:t>（以下简称乙方）</w:t>
      </w:r>
    </w:p>
    <w:p>
      <w:pPr>
        <w:spacing w:line="360" w:lineRule="auto"/>
        <w:rPr>
          <w:rFonts w:hint="default" w:ascii="仿宋" w:hAnsi="仿宋" w:eastAsia="仿宋" w:cs="Arial"/>
          <w:b/>
          <w:sz w:val="24"/>
          <w:szCs w:val="24"/>
          <w:shd w:val="clear" w:color="auto" w:fill="FFFFFF"/>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lang w:val="en-US" w:eastAsia="zh-CN"/>
        </w:rPr>
        <w:t>91220106MA1460GQXL</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98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17"/>
        <w:gridCol w:w="1151"/>
        <w:gridCol w:w="1178"/>
        <w:gridCol w:w="1179"/>
        <w:gridCol w:w="1179"/>
        <w:gridCol w:w="1179"/>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0" w:type="dxa"/>
            <w:vAlign w:val="center"/>
          </w:tcPr>
          <w:p>
            <w:pPr>
              <w:spacing w:line="240" w:lineRule="auto"/>
              <w:jc w:val="center"/>
              <w:rPr>
                <w:rFonts w:ascii="仿宋" w:hAnsi="仿宋" w:eastAsia="仿宋"/>
                <w:szCs w:val="21"/>
              </w:rPr>
            </w:pPr>
            <w:r>
              <w:rPr>
                <w:rFonts w:hint="eastAsia" w:ascii="仿宋" w:hAnsi="仿宋" w:eastAsia="仿宋"/>
                <w:szCs w:val="21"/>
              </w:rPr>
              <w:t>序号</w:t>
            </w:r>
          </w:p>
        </w:tc>
        <w:tc>
          <w:tcPr>
            <w:tcW w:w="1717" w:type="dxa"/>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1151" w:type="dxa"/>
            <w:vAlign w:val="center"/>
          </w:tcPr>
          <w:p>
            <w:pPr>
              <w:spacing w:line="360" w:lineRule="auto"/>
              <w:jc w:val="center"/>
              <w:rPr>
                <w:rFonts w:ascii="仿宋" w:hAnsi="仿宋" w:eastAsia="仿宋"/>
                <w:szCs w:val="21"/>
              </w:rPr>
            </w:pPr>
            <w:r>
              <w:rPr>
                <w:rFonts w:hint="eastAsia" w:ascii="仿宋" w:hAnsi="仿宋" w:eastAsia="仿宋"/>
                <w:szCs w:val="21"/>
              </w:rPr>
              <w:t>模具编号</w:t>
            </w:r>
          </w:p>
        </w:tc>
        <w:tc>
          <w:tcPr>
            <w:tcW w:w="1178" w:type="dxa"/>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1179" w:type="dxa"/>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179" w:type="dxa"/>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179" w:type="dxa"/>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1608" w:type="dxa"/>
            <w:vAlign w:val="center"/>
          </w:tcPr>
          <w:p>
            <w:pPr>
              <w:spacing w:line="360" w:lineRule="auto"/>
              <w:jc w:val="center"/>
              <w:rPr>
                <w:rFonts w:ascii="仿宋" w:hAnsi="仿宋" w:eastAsia="仿宋"/>
                <w:szCs w:val="21"/>
              </w:rPr>
            </w:pPr>
            <w:r>
              <w:rPr>
                <w:rFonts w:hint="eastAsia" w:ascii="仿宋" w:hAnsi="仿宋" w:eastAsia="仿宋"/>
                <w:szCs w:val="21"/>
              </w:rPr>
              <w:t>备注（模腔</w:t>
            </w:r>
            <w:r>
              <w:rPr>
                <w:rFonts w:ascii="仿宋" w:hAnsi="仿宋" w:eastAsia="仿宋"/>
                <w:szCs w:val="21"/>
              </w:rPr>
              <w:t>数</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1717" w:type="dxa"/>
            <w:vAlign w:val="center"/>
          </w:tcPr>
          <w:p>
            <w:pPr>
              <w:spacing w:line="240" w:lineRule="auto"/>
              <w:jc w:val="center"/>
              <w:rPr>
                <w:rFonts w:hint="default" w:ascii="仿宋" w:hAnsi="仿宋" w:eastAsia="仿宋"/>
                <w:szCs w:val="21"/>
                <w:lang w:val="en-US"/>
              </w:rPr>
            </w:pPr>
            <w:r>
              <w:rPr>
                <w:rFonts w:hint="eastAsia" w:ascii="仿宋" w:hAnsi="仿宋" w:eastAsia="仿宋"/>
                <w:szCs w:val="21"/>
                <w:lang w:val="en-US" w:eastAsia="zh-CN"/>
              </w:rPr>
              <w:t>调角器左罩壳冲孔工装</w:t>
            </w:r>
          </w:p>
        </w:tc>
        <w:tc>
          <w:tcPr>
            <w:tcW w:w="1151" w:type="dxa"/>
            <w:vAlign w:val="center"/>
          </w:tcPr>
          <w:p>
            <w:pPr>
              <w:spacing w:line="240" w:lineRule="auto"/>
              <w:jc w:val="center"/>
              <w:rPr>
                <w:rFonts w:hint="eastAsia" w:ascii="仿宋" w:hAnsi="仿宋" w:eastAsia="仿宋"/>
                <w:szCs w:val="21"/>
              </w:rPr>
            </w:pPr>
            <w:r>
              <w:rPr>
                <w:rFonts w:ascii="宋体" w:hAnsi="宋体" w:cs="宋体"/>
                <w:color w:val="000000"/>
                <w:sz w:val="20"/>
                <w:szCs w:val="20"/>
              </w:rPr>
              <w:t>SHT0014618-ZJ-01</w:t>
            </w:r>
          </w:p>
        </w:tc>
        <w:tc>
          <w:tcPr>
            <w:tcW w:w="1178" w:type="dxa"/>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1副</w:t>
            </w:r>
          </w:p>
        </w:tc>
        <w:tc>
          <w:tcPr>
            <w:tcW w:w="1179" w:type="dxa"/>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9734.51</w:t>
            </w:r>
          </w:p>
        </w:tc>
        <w:tc>
          <w:tcPr>
            <w:tcW w:w="1179" w:type="dxa"/>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1265.49</w:t>
            </w:r>
          </w:p>
        </w:tc>
        <w:tc>
          <w:tcPr>
            <w:tcW w:w="1179" w:type="dxa"/>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11000.00</w:t>
            </w:r>
          </w:p>
        </w:tc>
        <w:tc>
          <w:tcPr>
            <w:tcW w:w="1608" w:type="dxa"/>
            <w:vAlign w:val="center"/>
          </w:tcPr>
          <w:p>
            <w:pPr>
              <w:spacing w:line="240" w:lineRule="auto"/>
              <w:jc w:val="center"/>
              <w:rPr>
                <w:rFonts w:hint="default" w:ascii="仿宋" w:hAnsi="仿宋" w:eastAsia="仿宋"/>
                <w:szCs w:val="21"/>
                <w:lang w:val="en-US"/>
              </w:rPr>
            </w:pPr>
            <w:r>
              <w:rPr>
                <w:rFonts w:hint="eastAsia" w:ascii="仿宋" w:hAnsi="仿宋" w:eastAsia="仿宋"/>
                <w:szCs w:val="21"/>
                <w:lang w:val="en-US" w:eastAsia="zh-CN"/>
              </w:rPr>
              <w:t>J6L项目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87" w:type="dxa"/>
            <w:gridSpan w:val="2"/>
            <w:vAlign w:val="center"/>
          </w:tcPr>
          <w:p>
            <w:pPr>
              <w:spacing w:line="240" w:lineRule="auto"/>
              <w:jc w:val="center"/>
              <w:rPr>
                <w:rFonts w:ascii="仿宋" w:hAnsi="仿宋" w:eastAsia="仿宋"/>
                <w:szCs w:val="21"/>
              </w:rPr>
            </w:pPr>
            <w:r>
              <w:rPr>
                <w:rFonts w:hint="eastAsia" w:ascii="仿宋" w:hAnsi="仿宋" w:eastAsia="仿宋"/>
                <w:b w:val="0"/>
                <w:bCs/>
                <w:szCs w:val="21"/>
              </w:rPr>
              <w:t>合计</w:t>
            </w:r>
          </w:p>
        </w:tc>
        <w:tc>
          <w:tcPr>
            <w:tcW w:w="1151" w:type="dxa"/>
            <w:vAlign w:val="center"/>
          </w:tcPr>
          <w:p>
            <w:pPr>
              <w:spacing w:line="240" w:lineRule="auto"/>
              <w:jc w:val="center"/>
              <w:rPr>
                <w:rFonts w:ascii="仿宋" w:hAnsi="仿宋" w:eastAsia="仿宋"/>
                <w:szCs w:val="21"/>
              </w:rPr>
            </w:pPr>
          </w:p>
        </w:tc>
        <w:tc>
          <w:tcPr>
            <w:tcW w:w="1178" w:type="dxa"/>
            <w:vAlign w:val="center"/>
          </w:tcPr>
          <w:p>
            <w:pPr>
              <w:spacing w:line="240" w:lineRule="auto"/>
              <w:jc w:val="center"/>
              <w:rPr>
                <w:rFonts w:ascii="仿宋" w:hAnsi="仿宋" w:eastAsia="仿宋"/>
                <w:szCs w:val="21"/>
              </w:rPr>
            </w:pPr>
          </w:p>
        </w:tc>
        <w:tc>
          <w:tcPr>
            <w:tcW w:w="1179" w:type="dxa"/>
            <w:vAlign w:val="center"/>
          </w:tcPr>
          <w:p>
            <w:pPr>
              <w:spacing w:line="240" w:lineRule="auto"/>
              <w:jc w:val="center"/>
              <w:rPr>
                <w:rFonts w:hint="eastAsia" w:ascii="仿宋" w:hAnsi="仿宋" w:eastAsia="仿宋"/>
                <w:szCs w:val="21"/>
                <w:lang w:val="en-US" w:eastAsia="zh-CN"/>
              </w:rPr>
            </w:pPr>
          </w:p>
        </w:tc>
        <w:tc>
          <w:tcPr>
            <w:tcW w:w="1179" w:type="dxa"/>
            <w:vAlign w:val="center"/>
          </w:tcPr>
          <w:p>
            <w:pPr>
              <w:spacing w:line="240" w:lineRule="auto"/>
              <w:jc w:val="center"/>
              <w:rPr>
                <w:rFonts w:hint="eastAsia" w:ascii="仿宋" w:hAnsi="仿宋" w:eastAsia="仿宋"/>
                <w:szCs w:val="21"/>
                <w:lang w:val="en-US" w:eastAsia="zh-CN"/>
              </w:rPr>
            </w:pPr>
          </w:p>
        </w:tc>
        <w:tc>
          <w:tcPr>
            <w:tcW w:w="1179" w:type="dxa"/>
            <w:vAlign w:val="center"/>
          </w:tcPr>
          <w:p>
            <w:pPr>
              <w:spacing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11000.00</w:t>
            </w:r>
          </w:p>
        </w:tc>
        <w:tc>
          <w:tcPr>
            <w:tcW w:w="1608" w:type="dxa"/>
            <w:vAlign w:val="center"/>
          </w:tcPr>
          <w:p>
            <w:pPr>
              <w:spacing w:line="240" w:lineRule="auto"/>
              <w:jc w:val="center"/>
              <w:rPr>
                <w:rFonts w:ascii="仿宋" w:hAnsi="仿宋" w:eastAsia="仿宋"/>
                <w:szCs w:val="21"/>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11000.00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 xml:space="preserve">壹万壹仟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 xml:space="preserve">双方协商采用下列第【 </w:t>
      </w:r>
      <w:r>
        <w:rPr>
          <w:rFonts w:hint="eastAsia" w:ascii="仿宋" w:hAnsi="仿宋" w:eastAsia="仿宋" w:cs="宋体"/>
          <w:bCs/>
          <w:kern w:val="0"/>
          <w:sz w:val="24"/>
          <w:szCs w:val="24"/>
          <w:lang w:val="en-US" w:eastAsia="zh-CN"/>
        </w:rPr>
        <w:t>一</w:t>
      </w:r>
      <w:r>
        <w:rPr>
          <w:rFonts w:hint="eastAsia" w:ascii="仿宋" w:hAnsi="仿宋" w:eastAsia="仿宋" w:cs="宋体"/>
          <w:bCs/>
          <w:kern w:val="0"/>
          <w:sz w:val="24"/>
          <w:szCs w:val="24"/>
        </w:rPr>
        <w:t xml:space="preserve"> 】种付款方式。甲方以电汇支付合同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【一】1、验收合格后，</w:t>
      </w:r>
      <w:r>
        <w:rPr>
          <w:rFonts w:hint="eastAsia" w:ascii="仿宋" w:hAnsi="仿宋" w:eastAsia="仿宋"/>
          <w:sz w:val="24"/>
          <w:szCs w:val="24"/>
          <w:lang w:val="en-US" w:eastAsia="zh-CN"/>
        </w:rPr>
        <w:t>乙方开具全额发票，</w:t>
      </w:r>
      <w:r>
        <w:rPr>
          <w:rFonts w:hint="eastAsia" w:ascii="仿宋" w:hAnsi="仿宋" w:eastAsia="仿宋"/>
          <w:sz w:val="24"/>
          <w:szCs w:val="24"/>
        </w:rPr>
        <w:t>甲方支付总金额的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100</w:t>
      </w:r>
      <w:r>
        <w:rPr>
          <w:rFonts w:hint="eastAsia" w:ascii="仿宋" w:hAnsi="仿宋" w:eastAsia="仿宋"/>
          <w:sz w:val="24"/>
          <w:szCs w:val="24"/>
          <w:u w:val="single"/>
        </w:rPr>
        <w:t xml:space="preserve"> </w:t>
      </w:r>
      <w:r>
        <w:rPr>
          <w:rFonts w:hint="eastAsia" w:ascii="仿宋" w:hAnsi="仿宋" w:eastAsia="仿宋"/>
          <w:sz w:val="24"/>
          <w:szCs w:val="24"/>
        </w:rPr>
        <w:t>%，计：人民币</w:t>
      </w:r>
      <w:permStart w:id="0" w:edGrp="everyone"/>
      <w:r>
        <w:rPr>
          <w:rFonts w:hint="eastAsia" w:ascii="仿宋" w:hAnsi="仿宋" w:eastAsia="仿宋"/>
          <w:sz w:val="24"/>
          <w:szCs w:val="24"/>
        </w:rPr>
        <w:t xml:space="preserve"> </w:t>
      </w:r>
      <w:r>
        <w:rPr>
          <w:rFonts w:hint="eastAsia" w:ascii="仿宋" w:hAnsi="仿宋" w:eastAsia="仿宋"/>
          <w:sz w:val="24"/>
          <w:szCs w:val="24"/>
          <w:u w:val="single"/>
          <w:lang w:val="en-US" w:eastAsia="zh-CN"/>
        </w:rPr>
        <w:t>11000.00</w:t>
      </w:r>
      <w:r>
        <w:rPr>
          <w:rFonts w:hint="eastAsia" w:ascii="仿宋" w:hAnsi="仿宋" w:eastAsia="仿宋"/>
          <w:sz w:val="24"/>
          <w:szCs w:val="24"/>
          <w:u w:val="single"/>
        </w:rPr>
        <w:t xml:space="preserve"> </w:t>
      </w:r>
      <w:permEnd w:id="0"/>
      <w:r>
        <w:rPr>
          <w:rFonts w:hint="eastAsia" w:ascii="仿宋" w:hAnsi="仿宋" w:eastAsia="仿宋"/>
          <w:sz w:val="24"/>
          <w:szCs w:val="24"/>
        </w:rPr>
        <w:t>元</w:t>
      </w:r>
      <w:r>
        <w:rPr>
          <w:rFonts w:hint="eastAsia" w:ascii="仿宋" w:hAnsi="仿宋" w:eastAsia="仿宋"/>
          <w:sz w:val="24"/>
          <w:szCs w:val="24"/>
          <w:lang w:eastAsia="zh-CN"/>
        </w:rPr>
        <w:t>，</w:t>
      </w:r>
      <w:r>
        <w:rPr>
          <w:rFonts w:hint="eastAsia" w:ascii="仿宋" w:hAnsi="仿宋" w:eastAsia="仿宋"/>
          <w:sz w:val="24"/>
          <w:szCs w:val="24"/>
        </w:rPr>
        <w:t>乙方将模具及全部附件运送到甲方指定地点。</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1"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5</w:t>
      </w:r>
      <w:r>
        <w:rPr>
          <w:rFonts w:hint="eastAsia" w:ascii="仿宋" w:hAnsi="仿宋" w:eastAsia="仿宋"/>
          <w:sz w:val="24"/>
          <w:szCs w:val="24"/>
          <w:u w:val="single"/>
        </w:rPr>
        <w:t xml:space="preserve"> </w:t>
      </w:r>
      <w:permEnd w:id="1"/>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2" w:edGrp="everyone"/>
      <w:r>
        <w:rPr>
          <w:rFonts w:hint="eastAsia" w:ascii="仿宋" w:hAnsi="仿宋" w:eastAsia="仿宋"/>
          <w:sz w:val="24"/>
          <w:szCs w:val="24"/>
          <w:lang w:val="en-US" w:eastAsia="zh-CN"/>
        </w:rPr>
        <w:t>22</w:t>
      </w:r>
      <w:permEnd w:id="2"/>
      <w:r>
        <w:rPr>
          <w:rFonts w:hint="eastAsia" w:ascii="仿宋" w:hAnsi="仿宋" w:eastAsia="仿宋"/>
          <w:sz w:val="24"/>
          <w:szCs w:val="24"/>
        </w:rPr>
        <w:t>日内，乙方交付试首模样件（不少于20件套/送样）时，须附自检报告，甲方在收到首模样件后5天内提出书面意见给乙方。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20</w:t>
      </w:r>
      <w:r>
        <w:rPr>
          <w:rFonts w:hint="eastAsia" w:ascii="仿宋" w:hAnsi="仿宋" w:eastAsia="仿宋"/>
          <w:sz w:val="24"/>
          <w:szCs w:val="24"/>
        </w:rPr>
        <w:t xml:space="preserve"> </w:t>
      </w:r>
      <w:permEnd w:id="3"/>
      <w:r>
        <w:rPr>
          <w:rFonts w:hint="eastAsia" w:ascii="仿宋" w:hAnsi="仿宋" w:eastAsia="仿宋"/>
          <w:sz w:val="24"/>
          <w:szCs w:val="24"/>
        </w:rPr>
        <w:t>天，乙方应于20</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4"/>
      <w:r>
        <w:rPr>
          <w:rFonts w:hint="eastAsia" w:ascii="仿宋" w:hAnsi="仿宋" w:eastAsia="仿宋"/>
          <w:sz w:val="24"/>
          <w:szCs w:val="24"/>
        </w:rPr>
        <w:t>年</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3</w:t>
      </w:r>
      <w:r>
        <w:rPr>
          <w:rFonts w:hint="eastAsia" w:ascii="仿宋" w:hAnsi="仿宋" w:eastAsia="仿宋"/>
          <w:sz w:val="24"/>
          <w:szCs w:val="24"/>
        </w:rPr>
        <w:t xml:space="preserve"> </w:t>
      </w:r>
      <w:permEnd w:id="5"/>
      <w:r>
        <w:rPr>
          <w:rFonts w:hint="eastAsia" w:ascii="仿宋" w:hAnsi="仿宋" w:eastAsia="仿宋"/>
          <w:sz w:val="24"/>
          <w:szCs w:val="24"/>
        </w:rPr>
        <w:t>月</w:t>
      </w:r>
      <w:permStart w:id="6" w:edGrp="everyone"/>
      <w:r>
        <w:rPr>
          <w:rFonts w:hint="eastAsia" w:ascii="仿宋" w:hAnsi="仿宋" w:eastAsia="仿宋"/>
          <w:sz w:val="24"/>
          <w:szCs w:val="24"/>
        </w:rPr>
        <w:t xml:space="preserve"> </w:t>
      </w:r>
      <w:r>
        <w:rPr>
          <w:rFonts w:hint="eastAsia" w:ascii="仿宋" w:hAnsi="仿宋" w:eastAsia="仿宋"/>
          <w:sz w:val="24"/>
          <w:szCs w:val="24"/>
          <w:lang w:val="en-US" w:eastAsia="zh-CN"/>
        </w:rPr>
        <w:t>20</w:t>
      </w:r>
      <w:r>
        <w:rPr>
          <w:rFonts w:hint="eastAsia" w:ascii="仿宋" w:hAnsi="仿宋" w:eastAsia="仿宋"/>
          <w:sz w:val="24"/>
          <w:szCs w:val="24"/>
        </w:rPr>
        <w:t xml:space="preserve"> </w:t>
      </w:r>
      <w:permEnd w:id="6"/>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7" w:edGrp="everyone"/>
      <w:r>
        <w:rPr>
          <w:rFonts w:hint="eastAsia" w:ascii="仿宋" w:hAnsi="仿宋" w:eastAsia="仿宋"/>
          <w:sz w:val="24"/>
          <w:szCs w:val="24"/>
          <w:lang w:val="en-US" w:eastAsia="zh-CN"/>
        </w:rPr>
        <w:t>200</w:t>
      </w:r>
      <w:permEnd w:id="7"/>
      <w:r>
        <w:rPr>
          <w:rFonts w:hint="eastAsia" w:ascii="仿宋" w:hAnsi="仿宋" w:eastAsia="仿宋"/>
          <w:sz w:val="24"/>
          <w:szCs w:val="24"/>
        </w:rPr>
        <w:t>件，月产能：</w:t>
      </w:r>
      <w:permStart w:id="8" w:edGrp="everyone"/>
      <w:r>
        <w:rPr>
          <w:rFonts w:hint="eastAsia" w:ascii="仿宋" w:hAnsi="仿宋" w:eastAsia="仿宋"/>
          <w:sz w:val="24"/>
          <w:szCs w:val="24"/>
          <w:lang w:val="en-US" w:eastAsia="zh-CN"/>
        </w:rPr>
        <w:t>5000</w:t>
      </w:r>
      <w:permEnd w:id="8"/>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hint="eastAsia"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ind w:firstLine="360" w:firstLineChars="150"/>
        <w:rPr>
          <w:rFonts w:hint="eastAsia" w:ascii="仿宋" w:hAnsi="仿宋" w:eastAsia="仿宋"/>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lang w:val="en-US" w:eastAsia="zh-CN"/>
        </w:rPr>
        <w:t>长春</w:t>
      </w:r>
      <w:r>
        <w:rPr>
          <w:rFonts w:hint="eastAsia" w:ascii="仿宋" w:hAnsi="仿宋" w:eastAsia="仿宋"/>
          <w:b/>
          <w:sz w:val="24"/>
          <w:szCs w:val="24"/>
        </w:rPr>
        <w:t>光华荣昌汽车部件有限公司</w:t>
      </w:r>
      <w:r>
        <w:rPr>
          <w:rFonts w:hint="eastAsia" w:ascii="仿宋" w:hAnsi="仿宋" w:eastAsia="仿宋" w:cs="仿宋"/>
          <w:b/>
          <w:color w:val="000000"/>
          <w:sz w:val="24"/>
          <w:szCs w:val="24"/>
        </w:rPr>
        <w:t xml:space="preserve">       乙方:</w:t>
      </w:r>
      <w:r>
        <w:rPr>
          <w:rFonts w:hint="eastAsia" w:ascii="仿宋" w:hAnsi="仿宋" w:eastAsia="仿宋" w:cs="仿宋"/>
          <w:b/>
          <w:color w:val="000000"/>
          <w:sz w:val="24"/>
          <w:szCs w:val="24"/>
          <w:lang w:val="en-US" w:eastAsia="zh-CN"/>
        </w:rPr>
        <w:t xml:space="preserve">  </w:t>
      </w:r>
      <w:r>
        <w:rPr>
          <w:rFonts w:hint="eastAsia" w:ascii="仿宋" w:hAnsi="仿宋" w:eastAsia="仿宋"/>
          <w:b/>
          <w:sz w:val="24"/>
          <w:szCs w:val="24"/>
          <w:lang w:val="en-US" w:eastAsia="zh-CN"/>
        </w:rPr>
        <w:t>长春市凯圣机械有限公司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0D5D2C0E"/>
    <w:rsid w:val="26355ECD"/>
    <w:rsid w:val="3439681F"/>
    <w:rsid w:val="433D4DC0"/>
    <w:rsid w:val="643049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Char"/>
    <w:link w:val="7"/>
    <w:semiHidden/>
    <w:qFormat/>
    <w:uiPriority w:val="99"/>
    <w:rPr>
      <w:b/>
      <w:bCs/>
      <w:kern w:val="2"/>
      <w:sz w:val="21"/>
    </w:rPr>
  </w:style>
  <w:style w:type="character" w:customStyle="1" w:styleId="13">
    <w:name w:val="页眉 Char"/>
    <w:link w:val="5"/>
    <w:qFormat/>
    <w:uiPriority w:val="99"/>
    <w:rPr>
      <w:kern w:val="2"/>
      <w:sz w:val="18"/>
      <w:szCs w:val="18"/>
    </w:rPr>
  </w:style>
  <w:style w:type="character" w:customStyle="1" w:styleId="14">
    <w:name w:val="批注框文本 Char"/>
    <w:link w:val="3"/>
    <w:semiHidden/>
    <w:qFormat/>
    <w:uiPriority w:val="99"/>
    <w:rPr>
      <w:kern w:val="2"/>
      <w:sz w:val="18"/>
      <w:szCs w:val="18"/>
    </w:rPr>
  </w:style>
  <w:style w:type="character" w:customStyle="1" w:styleId="15">
    <w:name w:val="批注文字 Char"/>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qFormat/>
    <w:uiPriority w:val="99"/>
    <w:rPr>
      <w:kern w:val="2"/>
      <w:sz w:val="18"/>
    </w:rPr>
  </w:style>
  <w:style w:type="character" w:customStyle="1" w:styleId="19">
    <w:name w:val="NormalCharacter"/>
    <w:link w:val="1"/>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7</Pages>
  <Words>588</Words>
  <Characters>3357</Characters>
  <Lines>27</Lines>
  <Paragraphs>7</Paragraphs>
  <TotalTime>2</TotalTime>
  <ScaleCrop>false</ScaleCrop>
  <LinksUpToDate>false</LinksUpToDate>
  <CharactersWithSpaces>3938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2023-02-27T02:05:40Z</dcterms:modified>
  <dc:title>模 具 制 造 合 同         合同编号：M11-8</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6BC486FF99E64F288CFC2A42D3DA5609</vt:lpwstr>
  </property>
</Properties>
</file>