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</w:t>
      </w:r>
      <w:r>
        <w:rPr>
          <w:rFonts w:hint="eastAsia" w:ascii="宋体" w:hAnsi="宋体" w:eastAsia="宋体"/>
          <w:b/>
          <w:sz w:val="32"/>
          <w:szCs w:val="32"/>
          <w:lang w:val="en-US" w:eastAsia="zh-CN"/>
        </w:rPr>
        <w:t>:气阀接头气管拉脱力试验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3</w:t>
            </w:r>
            <w:r>
              <w:rPr>
                <w:rFonts w:hint="eastAsia" w:ascii="Calibri" w:hAnsi="Calibri" w:eastAsia="宋体" w:cs="Times New Roman"/>
                <w:sz w:val="28"/>
              </w:rPr>
              <w:t>年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3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12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873760" cy="456565"/>
                      <wp:effectExtent l="0" t="0" r="2540" b="635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23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29335" cy="471170"/>
                      <wp:effectExtent l="0" t="0" r="18415" b="508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8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23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腰托气管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/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3</w:t>
            </w:r>
            <w:r>
              <w:rPr>
                <w:rFonts w:hint="eastAsia" w:ascii="宋体" w:hAnsi="宋体" w:eastAsia="宋体"/>
              </w:rPr>
              <w:t>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>
              <w:rPr>
                <w:rFonts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/>
                    <w:lang w:eastAsia="zh-CN"/>
                  </w:rPr>
                  <w:t>智能气控产品开发部</w:t>
                </w:r>
              </w:p>
            </w:sdtContent>
          </w:sdt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董启辉</w:t>
            </w:r>
          </w:p>
          <w:p>
            <w:pPr>
              <w:ind w:right="-102" w:rightChars="0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电话：</w:t>
            </w:r>
            <w:r>
              <w:rPr>
                <w:rFonts w:hint="eastAsia" w:ascii="宋体" w:hAnsi="宋体"/>
                <w:lang w:val="en-US" w:eastAsia="zh-CN"/>
              </w:rPr>
              <w:t>13933995680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3-03-0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2023年3月8日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3-03-09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Calibri" w:hAnsi="Calibri" w:eastAsia="宋体" w:cstheme="minorBidi"/>
                    <w:kern w:val="2"/>
                    <w:sz w:val="28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2023年3月9日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气阀接头气管拉脱力试验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详见GR20230308SQS026试验申请单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hAnsi="宋体" w:eastAsia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>
              <w:rPr>
                <w:rFonts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外购件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 w:firstLine="420" w:firstLineChars="200"/>
              <w:jc w:val="left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对202</w:t>
            </w:r>
            <w:r>
              <w:rPr>
                <w:rFonts w:hint="eastAsia" w:ascii="宋体" w:hAnsi="宋体" w:eastAsia="宋体"/>
                <w:lang w:val="en-US" w:eastAsia="zh-CN"/>
              </w:rPr>
              <w:t>3</w:t>
            </w:r>
            <w:r>
              <w:rPr>
                <w:rFonts w:hint="eastAsia" w:ascii="宋体" w:hAnsi="宋体" w:eastAsia="宋体"/>
              </w:rPr>
              <w:t>年</w:t>
            </w:r>
            <w:r>
              <w:rPr>
                <w:rFonts w:hint="eastAsia" w:ascii="宋体" w:hAnsi="宋体" w:eastAsia="宋体"/>
                <w:lang w:val="en-US" w:eastAsia="zh-CN"/>
              </w:rPr>
              <w:t>3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8</w:t>
            </w:r>
            <w:r>
              <w:rPr>
                <w:rFonts w:hint="eastAsia" w:ascii="宋体" w:hAnsi="宋体" w:eastAsia="宋体"/>
              </w:rPr>
              <w:t>日</w:t>
            </w:r>
            <w:sdt>
              <w:sdtPr>
                <w:rPr>
                  <w:rFonts w:ascii="宋体" w:hAnsi="宋体"/>
                </w:rPr>
                <w:id w:val="1409054"/>
                <w:comboBox>
                  <w:listItem w:value="选择一项。"/>
                  <w:listItem w:displayText="座椅研发部" w:value="座椅研发部"/>
                  <w:listItem w:displayText="后视镜研发部" w:value="后视镜研发部"/>
                  <w:listItem w:displayText="技术质量部" w:value="技术质量部"/>
                  <w:listItem w:displayText="北京事业部" w:value="北京事业部"/>
                  <w:listItem w:displayText="集团采购部" w:value="集团采购部"/>
                  <w:listItem w:displayText="河北事业部" w:value="河北事业部"/>
                  <w:listItem w:displayText="湖南事业部" w:value="湖南事业部"/>
                  <w:listItem w:displayText="山东事业部" w:value="山东事业部"/>
                  <w:listItem w:displayText="西安事业部" w:value="西安事业部"/>
                  <w:listItem w:displayText="长春事业部" w:value="长春事业部"/>
                </w:comboBox>
              </w:sdtPr>
              <w:sdtEndPr>
                <w:rPr>
                  <w:rFonts w:ascii="宋体" w:hAnsi="宋体"/>
                </w:rPr>
              </w:sdtEndPr>
              <w:sdtContent>
                <w:r>
                  <w:rPr>
                    <w:rFonts w:hint="eastAsia" w:ascii="宋体" w:hAnsi="宋体"/>
                    <w:lang w:eastAsia="zh-CN"/>
                  </w:rPr>
                  <w:t>智能气控产品开发部</w:t>
                </w:r>
              </w:sdtContent>
            </w:sdt>
            <w:r>
              <w:rPr>
                <w:rFonts w:hint="eastAsia" w:ascii="宋体" w:hAnsi="宋体" w:eastAsia="宋体"/>
              </w:rPr>
              <w:t>送检的</w:t>
            </w:r>
            <w:r>
              <w:rPr>
                <w:rFonts w:hint="eastAsia" w:ascii="宋体" w:hAnsi="宋体" w:eastAsia="宋体" w:cstheme="minorBidi"/>
                <w:kern w:val="2"/>
                <w:sz w:val="21"/>
                <w:szCs w:val="22"/>
                <w:lang w:val="en-US" w:eastAsia="zh-CN" w:bidi="ar-SA"/>
              </w:rPr>
              <w:t>腰托气管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GR20230308SQS026</w:t>
            </w:r>
            <w:r>
              <w:rPr>
                <w:rFonts w:hint="eastAsia" w:ascii="宋体" w:hAnsi="宋体" w:eastAsia="宋体"/>
                <w:lang w:val="en-US" w:eastAsia="zh-CN"/>
              </w:rPr>
              <w:t>试验申请单</w:t>
            </w:r>
            <w:r>
              <w:rPr>
                <w:rFonts w:hint="eastAsia" w:ascii="宋体" w:hAnsi="宋体" w:eastAsia="宋体"/>
              </w:rPr>
              <w:t>，</w:t>
            </w:r>
            <w:r>
              <w:rPr>
                <w:rFonts w:hint="eastAsia" w:ascii="宋体" w:hAnsi="宋体" w:eastAsia="宋体"/>
                <w:lang w:eastAsia="zh-CN"/>
              </w:rPr>
              <w:t>进行</w:t>
            </w: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气阀接头气管拉脱力试验</w:t>
            </w:r>
            <w:r>
              <w:rPr>
                <w:rFonts w:hint="eastAsia" w:ascii="宋体" w:hAnsi="宋体" w:eastAsia="宋体"/>
                <w:lang w:eastAsia="zh-CN"/>
              </w:rPr>
              <w:t>，结果不予评价</w:t>
            </w:r>
            <w:r>
              <w:rPr>
                <w:rFonts w:hint="eastAsia" w:ascii="宋体" w:hAnsi="宋体" w:eastAsia="宋体"/>
              </w:rPr>
              <w:t>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  <w:bookmarkStart w:id="0" w:name="_GoBack"/>
      <w:bookmarkEnd w:id="0"/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3-03-0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2023年3月9日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03-0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2023年3月9日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hint="eastAsia" w:eastAsia="宋体" w:cs="Arial" w:asciiTheme="minorHAnsi" w:hAnsiTheme="minorHAns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  <w:kern w:val="2"/>
                <w:sz w:val="21"/>
                <w:szCs w:val="21"/>
                <w:lang w:val="en-US" w:eastAsia="zh-CN" w:bidi="ar-SA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13.4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34.2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lang w:val="en-US" w:eastAsia="zh-CN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bdr w:val="none" w:color="auto" w:sz="0" w:space="0"/>
              </w:rPr>
              <w:t>拉力试验机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bdr w:val="none" w:color="auto" w:sz="0" w:space="0"/>
              </w:rPr>
              <w:t>N-074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bdr w:val="none" w:color="auto" w:sz="0" w:space="0"/>
              </w:rPr>
              <w:t>QT-1176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bdr w:val="none" w:color="auto" w:sz="0" w:space="0"/>
              </w:rPr>
              <w:t>高泰检测仪器有限公司</w:t>
            </w:r>
          </w:p>
        </w:tc>
        <w:tc>
          <w:tcPr>
            <w:tcW w:w="1210" w:type="dxa"/>
            <w:vAlign w:val="center"/>
          </w:tcPr>
          <w:p>
            <w:pPr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bdr w:val="none" w:color="auto" w:sz="0" w:space="0"/>
              </w:rPr>
              <w:t>±0.5%</w:t>
            </w:r>
          </w:p>
        </w:tc>
        <w:tc>
          <w:tcPr>
            <w:tcW w:w="1843" w:type="dxa"/>
            <w:vAlign w:val="center"/>
          </w:tcPr>
          <w:p>
            <w:pPr>
              <w:pStyle w:val="5"/>
              <w:shd w:val="clear" w:color="auto" w:fill="FFFFFF"/>
              <w:spacing w:line="316" w:lineRule="atLeast"/>
              <w:jc w:val="center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  <w:t>2023年7月27日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rPr>
                <w:rFonts w:hint="eastAsia" w:ascii="宋体" w:hAnsi="宋体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1.在常温环境下，将气阀所用气管按照要求插接在气阀气嘴接头上，插接到位，气管在气嘴上端面与另一移动夹具固定点长度需大于150mm以上；（不通气压）。</w:t>
            </w:r>
          </w:p>
          <w:p>
            <w:pPr>
              <w:numPr>
                <w:ilvl w:val="0"/>
                <w:numId w:val="0"/>
              </w:numPr>
              <w:rPr>
                <w:rFonts w:asciiTheme="minorEastAsia" w:hAnsiTheme="minorEastAsia"/>
                <w:kern w:val="0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  <w:lang w:val="en-US" w:eastAsia="zh-CN"/>
              </w:rPr>
              <w:t>2.将气阀阀体和气管分别固定，沿气管与接头竖直方向以25±3mm/min的速度匀速运动，直至气管与接头拉脱分离为止，记录拉脱过程中的瞬间最大力值。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eastAsia" w:asciiTheme="minorEastAsia" w:hAnsiTheme="minorEastAsia" w:eastAsiaTheme="minorEastAsia"/>
                <w:color w:val="000000"/>
                <w:lang w:eastAsia="zh-CN"/>
              </w:rPr>
            </w:pPr>
            <w:r>
              <w:rPr>
                <w:rFonts w:hint="eastAsia" w:hAnsi="宋体" w:cs="Times New Roman"/>
                <w:kern w:val="0"/>
                <w:sz w:val="21"/>
                <w:szCs w:val="20"/>
                <w:lang w:val="en-US" w:eastAsia="zh-CN" w:bidi="ar-SA"/>
              </w:rPr>
              <w:t>不评价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trHeight w:val="967" w:hRule="atLeast"/>
        </w:trPr>
        <w:tc>
          <w:tcPr>
            <w:tcW w:w="10564" w:type="dxa"/>
          </w:tcPr>
          <w:tbl>
            <w:tblPr>
              <w:tblStyle w:val="7"/>
              <w:tblpPr w:leftFromText="180" w:rightFromText="180" w:vertAnchor="text" w:horzAnchor="page" w:tblpX="809" w:tblpY="197"/>
              <w:tblOverlap w:val="never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159"/>
              <w:gridCol w:w="1812"/>
              <w:gridCol w:w="1299"/>
              <w:gridCol w:w="4188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12" w:hRule="atLeast"/>
              </w:trPr>
              <w:tc>
                <w:tcPr>
                  <w:tcW w:w="1159" w:type="dxa"/>
                  <w:vAlign w:val="center"/>
                </w:tcPr>
                <w:p>
                  <w:pPr>
                    <w:jc w:val="center"/>
                  </w:pPr>
                  <w:r>
                    <w:rPr>
                      <w:rFonts w:hint="eastAsia"/>
                    </w:rPr>
                    <w:t>样品名称</w:t>
                  </w:r>
                </w:p>
              </w:tc>
              <w:tc>
                <w:tcPr>
                  <w:tcW w:w="1812" w:type="dxa"/>
                  <w:vAlign w:val="center"/>
                </w:tcPr>
                <w:p>
                  <w:pPr>
                    <w:jc w:val="center"/>
                  </w:pPr>
                  <w:r>
                    <w:rPr>
                      <w:rFonts w:hint="eastAsia"/>
                    </w:rPr>
                    <w:t>样品编号</w:t>
                  </w:r>
                </w:p>
              </w:tc>
              <w:tc>
                <w:tcPr>
                  <w:tcW w:w="1299" w:type="dxa"/>
                  <w:vAlign w:val="center"/>
                </w:tcPr>
                <w:p>
                  <w:pPr>
                    <w:jc w:val="center"/>
                    <w:rPr>
                      <w:rFonts w:hint="eastAsia" w:eastAsiaTheme="minorEastAsia"/>
                      <w:lang w:eastAsia="zh-CN"/>
                    </w:rPr>
                  </w:pPr>
                  <w:r>
                    <w:rPr>
                      <w:rFonts w:hint="eastAsia"/>
                      <w:lang w:eastAsia="zh-CN"/>
                    </w:rPr>
                    <w:t>序号</w:t>
                  </w:r>
                </w:p>
              </w:tc>
              <w:tc>
                <w:tcPr>
                  <w:tcW w:w="4188" w:type="dxa"/>
                  <w:vAlign w:val="center"/>
                </w:tcPr>
                <w:p>
                  <w:pPr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eastAsia="zh-CN"/>
                    </w:rPr>
                    <w:t>力值（</w:t>
                  </w:r>
                  <w:r>
                    <w:rPr>
                      <w:rFonts w:hint="eastAsia"/>
                      <w:lang w:val="en-US" w:eastAsia="zh-CN"/>
                    </w:rPr>
                    <w:t>N</w:t>
                  </w:r>
                  <w:r>
                    <w:rPr>
                      <w:rFonts w:hint="eastAsia"/>
                      <w:lang w:eastAsia="zh-CN"/>
                    </w:rPr>
                    <w:t>）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1159" w:type="dxa"/>
                  <w:vMerge w:val="restart"/>
                  <w:vAlign w:val="center"/>
                </w:tcPr>
                <w:p>
                  <w:pPr>
                    <w:jc w:val="center"/>
                    <w:rPr>
                      <w:rFonts w:hint="eastAsia" w:eastAsiaTheme="minorEastAsia"/>
                      <w:lang w:eastAsia="zh-CN"/>
                    </w:rPr>
                  </w:pPr>
                  <w:r>
                    <w:rPr>
                      <w:rFonts w:hint="eastAsia"/>
                      <w:lang w:eastAsia="zh-CN"/>
                    </w:rPr>
                    <w:t>腰托气管</w:t>
                  </w:r>
                </w:p>
              </w:tc>
              <w:tc>
                <w:tcPr>
                  <w:tcW w:w="1812" w:type="dxa"/>
                  <w:vMerge w:val="restart"/>
                  <w:vAlign w:val="center"/>
                </w:tcPr>
                <w:p>
                  <w:pPr>
                    <w:jc w:val="center"/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026</w:t>
                  </w:r>
                  <w:r>
                    <w:rPr>
                      <w:rFonts w:hint="eastAsia" w:asciiTheme="minorEastAsia" w:hAnsiTheme="minorEastAsia"/>
                      <w:szCs w:val="21"/>
                    </w:rPr>
                    <w:t>-00</w:t>
                  </w: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1-202302</w:t>
                  </w:r>
                </w:p>
              </w:tc>
              <w:tc>
                <w:tcPr>
                  <w:tcW w:w="1299" w:type="dxa"/>
                  <w:vAlign w:val="center"/>
                </w:tcPr>
                <w:p>
                  <w:pPr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1#</w:t>
                  </w:r>
                </w:p>
              </w:tc>
              <w:tc>
                <w:tcPr>
                  <w:tcW w:w="4188" w:type="dxa"/>
                  <w:vAlign w:val="center"/>
                </w:tcPr>
                <w:p>
                  <w:pPr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89.40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1159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/>
                      <w:lang w:eastAsia="zh-CN"/>
                    </w:rPr>
                  </w:pPr>
                </w:p>
              </w:tc>
              <w:tc>
                <w:tcPr>
                  <w:tcW w:w="1812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</w:pPr>
                </w:p>
              </w:tc>
              <w:tc>
                <w:tcPr>
                  <w:tcW w:w="1299" w:type="dxa"/>
                  <w:vAlign w:val="center"/>
                </w:tcPr>
                <w:p>
                  <w:pPr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2#</w:t>
                  </w:r>
                </w:p>
              </w:tc>
              <w:tc>
                <w:tcPr>
                  <w:tcW w:w="4188" w:type="dxa"/>
                  <w:vAlign w:val="center"/>
                </w:tcPr>
                <w:p>
                  <w:pPr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94.26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1159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/>
                      <w:lang w:eastAsia="zh-CN"/>
                    </w:rPr>
                  </w:pPr>
                </w:p>
              </w:tc>
              <w:tc>
                <w:tcPr>
                  <w:tcW w:w="1812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</w:pPr>
                </w:p>
              </w:tc>
              <w:tc>
                <w:tcPr>
                  <w:tcW w:w="1299" w:type="dxa"/>
                  <w:vAlign w:val="center"/>
                </w:tcPr>
                <w:p>
                  <w:pPr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3#</w:t>
                  </w:r>
                </w:p>
              </w:tc>
              <w:tc>
                <w:tcPr>
                  <w:tcW w:w="4188" w:type="dxa"/>
                  <w:vAlign w:val="center"/>
                </w:tcPr>
                <w:p>
                  <w:pPr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89.92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1159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/>
                      <w:lang w:eastAsia="zh-CN"/>
                    </w:rPr>
                  </w:pPr>
                </w:p>
              </w:tc>
              <w:tc>
                <w:tcPr>
                  <w:tcW w:w="1812" w:type="dxa"/>
                  <w:vMerge w:val="restart"/>
                  <w:vAlign w:val="center"/>
                </w:tcPr>
                <w:p>
                  <w:pPr>
                    <w:jc w:val="center"/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026</w:t>
                  </w:r>
                  <w:r>
                    <w:rPr>
                      <w:rFonts w:hint="eastAsia" w:asciiTheme="minorEastAsia" w:hAnsiTheme="minorEastAsia"/>
                      <w:szCs w:val="21"/>
                    </w:rPr>
                    <w:t>-00</w:t>
                  </w: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2-202302</w:t>
                  </w:r>
                </w:p>
              </w:tc>
              <w:tc>
                <w:tcPr>
                  <w:tcW w:w="1299" w:type="dxa"/>
                  <w:vAlign w:val="center"/>
                </w:tcPr>
                <w:p>
                  <w:pPr>
                    <w:jc w:val="center"/>
                    <w:rPr>
                      <w:rFonts w:hint="default" w:asciiTheme="minorHAnsi" w:hAnsiTheme="minorHAnsi" w:eastAsiaTheme="minorEastAsia" w:cstheme="minorBidi"/>
                      <w:kern w:val="2"/>
                      <w:sz w:val="21"/>
                      <w:szCs w:val="22"/>
                      <w:lang w:val="en-US" w:eastAsia="zh-CN" w:bidi="ar-SA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1#</w:t>
                  </w:r>
                </w:p>
              </w:tc>
              <w:tc>
                <w:tcPr>
                  <w:tcW w:w="4188" w:type="dxa"/>
                  <w:vAlign w:val="center"/>
                </w:tcPr>
                <w:p>
                  <w:pPr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70.36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1159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/>
                      <w:lang w:eastAsia="zh-CN"/>
                    </w:rPr>
                  </w:pPr>
                </w:p>
              </w:tc>
              <w:tc>
                <w:tcPr>
                  <w:tcW w:w="1812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</w:pPr>
                </w:p>
              </w:tc>
              <w:tc>
                <w:tcPr>
                  <w:tcW w:w="1299" w:type="dxa"/>
                  <w:vAlign w:val="center"/>
                </w:tcPr>
                <w:p>
                  <w:pPr>
                    <w:jc w:val="center"/>
                    <w:rPr>
                      <w:rFonts w:hint="default" w:asciiTheme="minorHAnsi" w:hAnsiTheme="minorHAnsi" w:eastAsiaTheme="minorEastAsia" w:cstheme="minorBidi"/>
                      <w:kern w:val="2"/>
                      <w:sz w:val="21"/>
                      <w:szCs w:val="22"/>
                      <w:lang w:val="en-US" w:eastAsia="zh-CN" w:bidi="ar-SA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2#</w:t>
                  </w:r>
                </w:p>
              </w:tc>
              <w:tc>
                <w:tcPr>
                  <w:tcW w:w="4188" w:type="dxa"/>
                  <w:vAlign w:val="center"/>
                </w:tcPr>
                <w:p>
                  <w:pPr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79.94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1159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/>
                      <w:lang w:eastAsia="zh-CN"/>
                    </w:rPr>
                  </w:pPr>
                </w:p>
              </w:tc>
              <w:tc>
                <w:tcPr>
                  <w:tcW w:w="1812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</w:pPr>
                </w:p>
              </w:tc>
              <w:tc>
                <w:tcPr>
                  <w:tcW w:w="1299" w:type="dxa"/>
                  <w:vAlign w:val="center"/>
                </w:tcPr>
                <w:p>
                  <w:pPr>
                    <w:jc w:val="center"/>
                    <w:rPr>
                      <w:rFonts w:hint="default" w:asciiTheme="minorHAnsi" w:hAnsiTheme="minorHAnsi" w:eastAsiaTheme="minorEastAsia" w:cstheme="minorBidi"/>
                      <w:kern w:val="2"/>
                      <w:sz w:val="21"/>
                      <w:szCs w:val="22"/>
                      <w:lang w:val="en-US" w:eastAsia="zh-CN" w:bidi="ar-SA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3#</w:t>
                  </w:r>
                </w:p>
              </w:tc>
              <w:tc>
                <w:tcPr>
                  <w:tcW w:w="4188" w:type="dxa"/>
                  <w:vAlign w:val="center"/>
                </w:tcPr>
                <w:p>
                  <w:pPr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84.58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1159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/>
                      <w:lang w:eastAsia="zh-CN"/>
                    </w:rPr>
                  </w:pPr>
                </w:p>
              </w:tc>
              <w:tc>
                <w:tcPr>
                  <w:tcW w:w="1812" w:type="dxa"/>
                  <w:vMerge w:val="restart"/>
                  <w:vAlign w:val="center"/>
                </w:tcPr>
                <w:p>
                  <w:pPr>
                    <w:jc w:val="center"/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026</w:t>
                  </w:r>
                  <w:r>
                    <w:rPr>
                      <w:rFonts w:hint="eastAsia" w:asciiTheme="minorEastAsia" w:hAnsiTheme="minorEastAsia"/>
                      <w:szCs w:val="21"/>
                    </w:rPr>
                    <w:t>-00</w:t>
                  </w: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3-202302</w:t>
                  </w:r>
                </w:p>
              </w:tc>
              <w:tc>
                <w:tcPr>
                  <w:tcW w:w="1299" w:type="dxa"/>
                  <w:vAlign w:val="center"/>
                </w:tcPr>
                <w:p>
                  <w:pPr>
                    <w:jc w:val="center"/>
                    <w:rPr>
                      <w:rFonts w:hint="default" w:asciiTheme="minorHAnsi" w:hAnsiTheme="minorHAnsi" w:eastAsiaTheme="minorEastAsia" w:cstheme="minorBidi"/>
                      <w:kern w:val="2"/>
                      <w:sz w:val="21"/>
                      <w:szCs w:val="22"/>
                      <w:lang w:val="en-US" w:eastAsia="zh-CN" w:bidi="ar-SA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1#</w:t>
                  </w:r>
                </w:p>
              </w:tc>
              <w:tc>
                <w:tcPr>
                  <w:tcW w:w="4188" w:type="dxa"/>
                  <w:vAlign w:val="center"/>
                </w:tcPr>
                <w:p>
                  <w:pPr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80.82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00" w:hRule="atLeast"/>
              </w:trPr>
              <w:tc>
                <w:tcPr>
                  <w:tcW w:w="1159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/>
                      <w:lang w:eastAsia="zh-CN"/>
                    </w:rPr>
                  </w:pPr>
                </w:p>
              </w:tc>
              <w:tc>
                <w:tcPr>
                  <w:tcW w:w="1812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</w:pPr>
                </w:p>
              </w:tc>
              <w:tc>
                <w:tcPr>
                  <w:tcW w:w="1299" w:type="dxa"/>
                  <w:vAlign w:val="center"/>
                </w:tcPr>
                <w:p>
                  <w:pPr>
                    <w:jc w:val="center"/>
                    <w:rPr>
                      <w:rFonts w:hint="default" w:asciiTheme="minorHAnsi" w:hAnsiTheme="minorHAnsi" w:eastAsiaTheme="minorEastAsia" w:cstheme="minorBidi"/>
                      <w:kern w:val="2"/>
                      <w:sz w:val="21"/>
                      <w:szCs w:val="22"/>
                      <w:lang w:val="en-US" w:eastAsia="zh-CN" w:bidi="ar-SA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2#</w:t>
                  </w:r>
                </w:p>
              </w:tc>
              <w:tc>
                <w:tcPr>
                  <w:tcW w:w="4188" w:type="dxa"/>
                  <w:vAlign w:val="center"/>
                </w:tcPr>
                <w:p>
                  <w:pPr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83.30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62" w:hRule="atLeast"/>
              </w:trPr>
              <w:tc>
                <w:tcPr>
                  <w:tcW w:w="1159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/>
                      <w:lang w:eastAsia="zh-CN"/>
                    </w:rPr>
                  </w:pPr>
                </w:p>
              </w:tc>
              <w:tc>
                <w:tcPr>
                  <w:tcW w:w="1812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</w:pPr>
                </w:p>
              </w:tc>
              <w:tc>
                <w:tcPr>
                  <w:tcW w:w="1299" w:type="dxa"/>
                  <w:vAlign w:val="center"/>
                </w:tcPr>
                <w:p>
                  <w:pPr>
                    <w:jc w:val="center"/>
                    <w:rPr>
                      <w:rFonts w:hint="default" w:asciiTheme="minorHAnsi" w:hAnsiTheme="minorHAnsi" w:eastAsiaTheme="minorEastAsia" w:cstheme="minorBidi"/>
                      <w:kern w:val="2"/>
                      <w:sz w:val="21"/>
                      <w:szCs w:val="22"/>
                      <w:lang w:val="en-US" w:eastAsia="zh-CN" w:bidi="ar-SA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3#</w:t>
                  </w:r>
                </w:p>
              </w:tc>
              <w:tc>
                <w:tcPr>
                  <w:tcW w:w="4188" w:type="dxa"/>
                  <w:vAlign w:val="center"/>
                </w:tcPr>
                <w:p>
                  <w:pPr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80.06</w:t>
                  </w:r>
                </w:p>
              </w:tc>
            </w:tr>
          </w:tbl>
          <w:p>
            <w:pPr>
              <w:ind w:right="-102"/>
              <w:jc w:val="center"/>
              <w:rPr>
                <w:rFonts w:hint="eastAsia" w:ascii="宋体" w:hAnsi="宋体" w:eastAsiaTheme="minorEastAsia"/>
                <w:lang w:eastAsia="zh-CN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tabs>
                <w:tab w:val="center" w:pos="5285"/>
                <w:tab w:val="right" w:pos="10348"/>
              </w:tabs>
              <w:ind w:right="-102"/>
              <w:jc w:val="left"/>
              <w:rPr>
                <w:rFonts w:hint="eastAsia" w:ascii="宋体" w:hAnsi="宋体" w:eastAsiaTheme="minorEastAsia"/>
                <w:b/>
                <w:lang w:eastAsia="zh-CN"/>
              </w:rPr>
            </w:pPr>
            <w:r>
              <w:rPr>
                <w:rFonts w:hint="eastAsia"/>
                <w:lang w:eastAsia="zh-CN"/>
              </w:rPr>
              <w:tab/>
            </w:r>
            <w:r>
              <w:drawing>
                <wp:inline distT="0" distB="0" distL="114300" distR="114300">
                  <wp:extent cx="2962275" cy="2209800"/>
                  <wp:effectExtent l="0" t="0" r="9525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lang w:eastAsia="zh-CN"/>
              </w:rPr>
              <w:tab/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hint="eastAsia" w:ascii="宋体" w:hAnsi="宋体" w:eastAsia="宋体"/>
        <w:sz w:val="21"/>
        <w:szCs w:val="21"/>
        <w:lang w:val="en-US" w:eastAsia="zh-CN"/>
      </w:rPr>
      <w:t>GR20230308SQS026-0054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3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C91163"/>
    <w:multiLevelType w:val="multilevel"/>
    <w:tmpl w:val="1FC91163"/>
    <w:lvl w:ilvl="0" w:tentative="0">
      <w:start w:val="6"/>
      <w:numFmt w:val="decimal"/>
      <w:suff w:val="nothing"/>
      <w:lvlText w:val="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color w:val="auto"/>
        <w:sz w:val="21"/>
        <w:szCs w:val="21"/>
      </w:rPr>
    </w:lvl>
    <w:lvl w:ilvl="1" w:tentative="0">
      <w:start w:val="1"/>
      <w:numFmt w:val="decimal"/>
      <w:suff w:val="nothing"/>
      <w:lvlText w:val="%1.%2　"/>
      <w:lvlJc w:val="left"/>
      <w:pPr>
        <w:ind w:left="993" w:firstLine="0"/>
      </w:pPr>
      <w:rPr>
        <w:rFonts w:hint="eastAsia" w:ascii="黑体" w:hAnsi="Times New Roman" w:eastAsia="黑体" w:cs="Times New Roman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 w:tentative="0">
      <w:start w:val="1"/>
      <w:numFmt w:val="decimal"/>
      <w:pStyle w:val="16"/>
      <w:suff w:val="nothing"/>
      <w:lvlText w:val="4.1.%3"/>
      <w:lvlJc w:val="left"/>
      <w:pPr>
        <w:ind w:left="0" w:firstLine="0"/>
      </w:pPr>
      <w:rPr>
        <w:rFonts w:hint="eastAsia" w:ascii="宋体" w:hAnsi="宋体" w:eastAsia="宋体"/>
        <w:b w:val="0"/>
        <w:i w:val="0"/>
        <w:sz w:val="21"/>
      </w:rPr>
    </w:lvl>
    <w:lvl w:ilvl="3" w:tentative="0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 w:tentative="0">
      <w:start w:val="1"/>
      <w:numFmt w:val="decimal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0FD5A51"/>
    <w:rsid w:val="04E85E0B"/>
    <w:rsid w:val="064F7694"/>
    <w:rsid w:val="0A342C20"/>
    <w:rsid w:val="0B9E444D"/>
    <w:rsid w:val="0C582563"/>
    <w:rsid w:val="14977C8B"/>
    <w:rsid w:val="161E22B6"/>
    <w:rsid w:val="198D3D53"/>
    <w:rsid w:val="1AC94917"/>
    <w:rsid w:val="1E5441E7"/>
    <w:rsid w:val="25207829"/>
    <w:rsid w:val="29356D1B"/>
    <w:rsid w:val="29E057D9"/>
    <w:rsid w:val="29F513AD"/>
    <w:rsid w:val="2D351731"/>
    <w:rsid w:val="2F191EB9"/>
    <w:rsid w:val="321921D0"/>
    <w:rsid w:val="36C66F62"/>
    <w:rsid w:val="374F5AAF"/>
    <w:rsid w:val="38FD1478"/>
    <w:rsid w:val="3B712735"/>
    <w:rsid w:val="3CE87903"/>
    <w:rsid w:val="40B20507"/>
    <w:rsid w:val="45A514D2"/>
    <w:rsid w:val="462C7E9B"/>
    <w:rsid w:val="46AE0CE1"/>
    <w:rsid w:val="4AAB2B57"/>
    <w:rsid w:val="58934C03"/>
    <w:rsid w:val="591D6A81"/>
    <w:rsid w:val="5F4345A8"/>
    <w:rsid w:val="67515045"/>
    <w:rsid w:val="6D1159A2"/>
    <w:rsid w:val="7A2605B3"/>
    <w:rsid w:val="7D695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  <w:style w:type="paragraph" w:customStyle="1" w:styleId="16">
    <w:name w:val="编号列项（三级）"/>
    <w:qFormat/>
    <w:uiPriority w:val="0"/>
    <w:pPr>
      <w:numPr>
        <w:ilvl w:val="2"/>
        <w:numId w:val="1"/>
      </w:numPr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  <w:style w:type="character" w:customStyle="1" w:styleId="17">
    <w:name w:val="font61"/>
    <w:basedOn w:val="8"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8">
    <w:name w:val="font71"/>
    <w:basedOn w:val="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numbering" Target="numbering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92E85-379F-4111-996E-B037C7D22D0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797</Words>
  <Characters>1011</Characters>
  <Lines>5</Lines>
  <Paragraphs>1</Paragraphs>
  <TotalTime>6</TotalTime>
  <ScaleCrop>false</ScaleCrop>
  <LinksUpToDate>false</LinksUpToDate>
  <CharactersWithSpaces>1114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2023-03-13T08:16:09Z</dcterms:modified>
  <cp:revision>251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C51B4FA5D9DD4BBDA3282C1014ABD8E6</vt:lpwstr>
  </property>
</Properties>
</file>