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bookmarkStart w:id="0" w:name="_GoBack"/>
      <w:r>
        <w:rPr>
          <w:rFonts w:hint="eastAsia"/>
          <w:b/>
          <w:bCs/>
          <w:sz w:val="44"/>
          <w:szCs w:val="52"/>
          <w:lang w:val="en-US" w:eastAsia="zh-CN"/>
        </w:rPr>
        <w:t>关于河北合同管理申请流程</w:t>
      </w:r>
    </w:p>
    <w:p>
      <w:pPr>
        <w:jc w:val="center"/>
        <w:rPr>
          <w:rFonts w:hint="default" w:eastAsiaTheme="minor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财务对应审批节点以及界面优化的申请</w:t>
      </w:r>
      <w:bookmarkEnd w:id="0"/>
    </w:p>
    <w:p>
      <w:pPr>
        <w:rPr>
          <w:rFonts w:hint="default"/>
          <w:b/>
          <w:bCs/>
          <w:lang w:val="en-US" w:eastAsia="zh-CN"/>
        </w:rPr>
      </w:pPr>
    </w:p>
    <w:p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详见附图四项需求：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1952625"/>
            <wp:effectExtent l="0" t="0" r="8890" b="9525"/>
            <wp:docPr id="1" name="图片 1" descr="企业微信截图_16876792116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企业微信截图_1687679211687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4428490"/>
            <wp:effectExtent l="0" t="0" r="3175" b="10160"/>
            <wp:docPr id="2" name="图片 2" descr="企业微信截图_16876789371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企业微信截图_1687678937187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42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2Q5ZDdkYzMwMGU1N2EwNjU1NjNmOGNjYTJlOGEifQ=="/>
  </w:docVars>
  <w:rsids>
    <w:rsidRoot w:val="641F66BD"/>
    <w:rsid w:val="641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4</TotalTime>
  <ScaleCrop>false</ScaleCrop>
  <LinksUpToDate>false</LinksUpToDate>
  <CharactersWithSpaces>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2023-06-25T07:14:00Z</dcterms:created>
  <dc:creator>财务-谷朋坤</dc:creator>
  <cp:lastModifiedBy>财务-谷朋坤</cp:lastModifiedBy>
  <dcterms:modified xsi:type="dcterms:W3CDTF">2023-06-25T07:52:26Z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34755ACA657B40A2AD634B0C9ED143D5_11</vt:lpwstr>
  </property>
</Properties>
</file>