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4"/>
        </w:rPr>
      </w:pPr>
      <w:r>
        <w:rPr>
          <w:rFonts w:asciiTheme="minorEastAsia" w:hAnsiTheme="minorEastAsia"/>
          <w:b/>
          <w:sz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032" w:firstLineChars="1790"/>
        <w:rPr>
          <w:rFonts w:asciiTheme="minorEastAsia" w:hAnsiTheme="minorEastAsia"/>
          <w:b/>
          <w:sz w:val="28"/>
          <w:u w:val="single"/>
        </w:rPr>
      </w:pPr>
      <w:r>
        <w:rPr>
          <w:rFonts w:hint="eastAsia" w:asciiTheme="minorEastAsia" w:hAnsiTheme="minorEastAsia"/>
          <w:b/>
          <w:sz w:val="28"/>
        </w:rPr>
        <w:t>编号：</w:t>
      </w:r>
      <w:r>
        <w:rPr>
          <w:rFonts w:hint="eastAsia" w:asciiTheme="minorEastAsia" w:hAnsiTheme="minorEastAsia"/>
          <w:b/>
          <w:sz w:val="28"/>
          <w:u w:val="single"/>
        </w:rPr>
        <w:t xml:space="preserve">                  </w:t>
      </w:r>
    </w:p>
    <w:p>
      <w:pPr>
        <w:rPr>
          <w:rFonts w:asciiTheme="minorEastAsia" w:hAnsiTheme="minorEastAsia"/>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72"/>
          <w:szCs w:val="56"/>
        </w:rPr>
      </w:pPr>
      <w:r>
        <w:rPr>
          <w:rFonts w:hint="eastAsia" w:asciiTheme="minorEastAsia" w:hAnsiTheme="minorEastAsia"/>
          <w:b/>
          <w:sz w:val="72"/>
          <w:szCs w:val="56"/>
        </w:rPr>
        <w:t>质量保证协议书</w:t>
      </w: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ind w:firstLine="2310" w:firstLineChars="1100"/>
        <w:rPr>
          <w:rFonts w:asciiTheme="minorEastAsia" w:hAnsiTheme="minorEastAsia"/>
        </w:rPr>
      </w:pP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甲    方：</w:t>
      </w:r>
      <w:r>
        <w:rPr>
          <w:rFonts w:hint="eastAsia" w:asciiTheme="minorEastAsia" w:hAnsiTheme="minorEastAsia"/>
          <w:b/>
          <w:color w:val="FF0000"/>
          <w:sz w:val="24"/>
          <w:szCs w:val="18"/>
        </w:rPr>
        <w:t>（荣昌各工厂名称全称）</w:t>
      </w: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乙    方：</w:t>
      </w:r>
      <w:r>
        <w:rPr>
          <w:rFonts w:hint="eastAsia" w:asciiTheme="minorEastAsia" w:hAnsiTheme="minorEastAsia"/>
          <w:b/>
          <w:color w:val="FF0000"/>
          <w:sz w:val="24"/>
          <w:szCs w:val="18"/>
        </w:rPr>
        <w:t>（供应商名称全称）</w:t>
      </w: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签订地点：</w:t>
      </w:r>
      <w:r>
        <w:rPr>
          <w:rFonts w:hint="eastAsia" w:asciiTheme="minorEastAsia" w:hAnsiTheme="minorEastAsia"/>
          <w:b/>
          <w:color w:val="FF0000"/>
          <w:sz w:val="24"/>
          <w:szCs w:val="18"/>
        </w:rPr>
        <w:t>（荣昌各工厂具体地址）</w:t>
      </w: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签订时间：20XX年 1月 1日</w:t>
      </w:r>
    </w:p>
    <w:p>
      <w:pPr>
        <w:ind w:firstLine="885" w:firstLineChars="245"/>
        <w:jc w:val="left"/>
        <w:rPr>
          <w:rFonts w:asciiTheme="minorEastAsia" w:hAnsiTheme="minorEastAsia"/>
          <w:b/>
          <w:sz w:val="36"/>
          <w:szCs w:val="28"/>
        </w:rPr>
      </w:pPr>
    </w:p>
    <w:p>
      <w:pPr>
        <w:ind w:firstLine="885" w:firstLineChars="245"/>
        <w:jc w:val="left"/>
        <w:rPr>
          <w:rFonts w:asciiTheme="minorEastAsia" w:hAnsiTheme="minorEastAsia"/>
          <w:b/>
          <w:sz w:val="36"/>
          <w:szCs w:val="28"/>
        </w:rPr>
      </w:pPr>
    </w:p>
    <w:p>
      <w:pPr>
        <w:ind w:firstLine="443" w:firstLineChars="245"/>
        <w:jc w:val="left"/>
        <w:rPr>
          <w:rFonts w:asciiTheme="minorEastAsia" w:hAnsiTheme="minorEastAsia"/>
          <w:b/>
          <w:sz w:val="18"/>
          <w:szCs w:val="18"/>
        </w:rPr>
      </w:pPr>
      <w:r>
        <w:rPr>
          <w:rFonts w:hint="eastAsia" w:asciiTheme="minorEastAsia" w:hAnsiTheme="minorEastAsia"/>
          <w:b/>
          <w:sz w:val="18"/>
          <w:szCs w:val="18"/>
        </w:rPr>
        <w:t xml:space="preserve">     </w:t>
      </w:r>
    </w:p>
    <w:p>
      <w:pPr>
        <w:ind w:firstLine="541" w:firstLineChars="245"/>
        <w:jc w:val="left"/>
        <w:rPr>
          <w:rFonts w:asciiTheme="minorEastAsia" w:hAnsiTheme="minorEastAsia"/>
          <w:b/>
          <w:sz w:val="22"/>
        </w:rPr>
      </w:pPr>
      <w:r>
        <w:rPr>
          <w:rFonts w:hint="eastAsia" w:asciiTheme="minorEastAsia" w:hAnsiTheme="minor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1．名词定义</w:t>
      </w:r>
    </w:p>
    <w:p>
      <w:pPr>
        <w:ind w:firstLine="541" w:firstLineChars="245"/>
        <w:jc w:val="left"/>
        <w:rPr>
          <w:rFonts w:asciiTheme="minorEastAsia" w:hAnsiTheme="minorEastAsia"/>
          <w:b/>
          <w:sz w:val="22"/>
        </w:rPr>
      </w:pPr>
      <w:r>
        <w:rPr>
          <w:rFonts w:hint="eastAsia" w:asciiTheme="minorEastAsia" w:hAnsiTheme="minorEastAsia"/>
          <w:b/>
          <w:sz w:val="22"/>
        </w:rPr>
        <w:t>原材料：指甲方为了生产产品而购买的所有直接和间接材料，包括但不限于注塑原料、发泡原料、化工料、包装材料、辅助材料、布料等的统称。</w:t>
      </w:r>
    </w:p>
    <w:p>
      <w:pPr>
        <w:ind w:firstLine="541" w:firstLineChars="245"/>
        <w:jc w:val="left"/>
        <w:rPr>
          <w:rFonts w:asciiTheme="minorEastAsia" w:hAnsiTheme="minorEastAsia"/>
          <w:b/>
          <w:sz w:val="22"/>
        </w:rPr>
      </w:pPr>
      <w:r>
        <w:rPr>
          <w:rFonts w:hint="eastAsia" w:asciiTheme="minorEastAsia" w:hAnsiTheme="minorEastAsia"/>
          <w:b/>
          <w:sz w:val="22"/>
        </w:rPr>
        <w:t>零部件：指甲方为了生产产品而购买的所有直接和间接部件，包括但不限于调角器、滑道、升降机构、镜片、调整机构、加热片、座椅骨架、镜座、镜杆、标准件等的统称。</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2．使用范围</w:t>
      </w:r>
    </w:p>
    <w:p>
      <w:pPr>
        <w:jc w:val="left"/>
        <w:rPr>
          <w:rFonts w:asciiTheme="minorEastAsia" w:hAnsiTheme="minorEastAsia"/>
          <w:b/>
          <w:sz w:val="22"/>
        </w:rPr>
      </w:pPr>
      <w:r>
        <w:rPr>
          <w:rFonts w:hint="eastAsia" w:asciiTheme="minorEastAsia" w:hAnsiTheme="minorEastAsia"/>
          <w:b/>
          <w:sz w:val="22"/>
        </w:rPr>
        <w:t xml:space="preserve">     此协议适用于为甲方提供生产性原材料、零部件的供应商。</w:t>
      </w:r>
    </w:p>
    <w:p>
      <w:pPr>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3．质量要求</w:t>
      </w:r>
    </w:p>
    <w:p>
      <w:pPr>
        <w:ind w:firstLine="541" w:firstLineChars="245"/>
        <w:jc w:val="left"/>
        <w:rPr>
          <w:rFonts w:asciiTheme="minorEastAsia" w:hAnsiTheme="minorEastAsia"/>
          <w:b/>
          <w:sz w:val="22"/>
        </w:rPr>
      </w:pPr>
      <w:r>
        <w:rPr>
          <w:rFonts w:hint="eastAsia" w:asciiTheme="minorEastAsia" w:hAnsiTheme="minorEastAsia"/>
          <w:b/>
          <w:sz w:val="22"/>
        </w:rPr>
        <w:t>3.1 乙方应严格按照甲方提出的或经甲方认可的质量和技术规格要求，为甲方提供产品。</w:t>
      </w:r>
      <w:r>
        <w:rPr>
          <w:rFonts w:hint="eastAsia" w:ascii="Calibri" w:hAnsi="Calibri"/>
          <w:b/>
          <w:sz w:val="22"/>
        </w:rPr>
        <w:t>甲方对乙方供货产品的质量或技术规格如有任何变动</w:t>
      </w:r>
      <w:r>
        <w:rPr>
          <w:rFonts w:hint="eastAsia" w:asciiTheme="minorEastAsia" w:hAnsiTheme="minorEastAsia"/>
          <w:b/>
          <w:sz w:val="22"/>
        </w:rPr>
        <w:t>，甲方应书面告知乙方更新有关图纸和标准等，乙方需在3日内书面回复确认，并严格执行变更后的图纸和标准。如有异议，应在3日内提出。在3日内未提出的，视为同意甲方更新的图纸和标准。</w:t>
      </w:r>
    </w:p>
    <w:p>
      <w:pPr>
        <w:ind w:firstLine="537" w:firstLineChars="243"/>
        <w:jc w:val="left"/>
        <w:rPr>
          <w:rFonts w:asciiTheme="minorEastAsia" w:hAnsiTheme="minorEastAsia"/>
          <w:b/>
          <w:sz w:val="22"/>
        </w:rPr>
      </w:pPr>
      <w:r>
        <w:rPr>
          <w:rFonts w:hint="eastAsia" w:asciiTheme="minorEastAsia" w:hAnsiTheme="minor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41" w:firstLineChars="245"/>
        <w:jc w:val="left"/>
        <w:rPr>
          <w:rFonts w:asciiTheme="minorEastAsia" w:hAnsiTheme="minorEastAsia"/>
          <w:b/>
          <w:sz w:val="22"/>
        </w:rPr>
      </w:pPr>
      <w:r>
        <w:rPr>
          <w:rFonts w:hint="eastAsia" w:asciiTheme="minorEastAsia" w:hAnsiTheme="minorEastAsia"/>
          <w:b/>
          <w:sz w:val="22"/>
        </w:rPr>
        <w:t>3.3 乙方的产品包装必须满足甲方要求，包装方案需经甲方认可。</w:t>
      </w:r>
    </w:p>
    <w:p>
      <w:pPr>
        <w:jc w:val="left"/>
        <w:rPr>
          <w:rFonts w:asciiTheme="minorEastAsia" w:hAnsiTheme="minorEastAsia"/>
          <w:b/>
          <w:sz w:val="22"/>
        </w:rPr>
      </w:pPr>
      <w:r>
        <w:rPr>
          <w:rFonts w:hint="eastAsia" w:asciiTheme="minorEastAsia" w:hAnsiTheme="minorEastAsia"/>
          <w:b/>
          <w:sz w:val="22"/>
        </w:rPr>
        <w:t xml:space="preserve">     3.4 乙方必须向甲方提供每批产品的检验合格证明。</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4．质量保证</w:t>
      </w:r>
    </w:p>
    <w:p>
      <w:pPr>
        <w:ind w:left="541" w:hanging="541" w:hangingChars="245"/>
        <w:jc w:val="left"/>
        <w:rPr>
          <w:rFonts w:asciiTheme="minorEastAsia" w:hAnsiTheme="minorEastAsia"/>
          <w:b/>
          <w:sz w:val="22"/>
        </w:rPr>
      </w:pPr>
      <w:r>
        <w:rPr>
          <w:rFonts w:hint="eastAsia" w:asciiTheme="minorEastAsia" w:hAnsiTheme="minorEastAsia"/>
          <w:b/>
          <w:sz w:val="22"/>
        </w:rPr>
        <w:t xml:space="preserve">     4.1 乙方应接受甲方对乙方产品的质量评审工作，并配合提交有关资料，并根据</w:t>
      </w:r>
    </w:p>
    <w:p>
      <w:pPr>
        <w:ind w:left="541" w:hanging="541" w:hangingChars="245"/>
        <w:jc w:val="left"/>
        <w:rPr>
          <w:rFonts w:asciiTheme="minorEastAsia" w:hAnsiTheme="minorEastAsia"/>
          <w:b/>
          <w:color w:val="FF0000"/>
          <w:sz w:val="22"/>
        </w:rPr>
      </w:pPr>
      <w:r>
        <w:rPr>
          <w:rFonts w:hint="eastAsia" w:asciiTheme="minorEastAsia" w:hAnsiTheme="minorEastAsia"/>
          <w:b/>
          <w:sz w:val="22"/>
        </w:rPr>
        <w:t xml:space="preserve">甲方的评审结果，按照甲方要求进行整改。   </w:t>
      </w:r>
      <w:r>
        <w:rPr>
          <w:rFonts w:hint="eastAsia" w:asciiTheme="minorEastAsia" w:hAnsiTheme="minorEastAsia"/>
          <w:b/>
          <w:color w:val="FF0000"/>
          <w:sz w:val="22"/>
        </w:rPr>
        <w:t xml:space="preserve">  </w:t>
      </w:r>
    </w:p>
    <w:p>
      <w:pPr>
        <w:jc w:val="left"/>
        <w:rPr>
          <w:rFonts w:asciiTheme="minorEastAsia" w:hAnsiTheme="minorEastAsia"/>
          <w:b/>
          <w:sz w:val="22"/>
        </w:rPr>
      </w:pPr>
      <w:r>
        <w:rPr>
          <w:rFonts w:hint="eastAsia" w:asciiTheme="minorEastAsia" w:hAnsiTheme="minor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2"/>
        </w:rPr>
      </w:pPr>
      <w:r>
        <w:rPr>
          <w:rFonts w:hint="eastAsia" w:asciiTheme="minorEastAsia" w:hAnsiTheme="minorEastAsia"/>
          <w:b/>
          <w:sz w:val="22"/>
        </w:rPr>
        <w:t xml:space="preserve">     4.3 乙方应按要求参加甲方质量部门组织的质量改进会议、质量培训等活动。</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5．质量确认及记录</w:t>
      </w:r>
    </w:p>
    <w:p>
      <w:pPr>
        <w:jc w:val="left"/>
        <w:rPr>
          <w:rFonts w:asciiTheme="minorEastAsia" w:hAnsiTheme="minorEastAsia"/>
          <w:b/>
          <w:sz w:val="22"/>
        </w:rPr>
      </w:pPr>
      <w:r>
        <w:rPr>
          <w:rFonts w:hint="eastAsia" w:asciiTheme="minorEastAsia" w:hAnsiTheme="minor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2"/>
        </w:rPr>
      </w:pPr>
      <w:r>
        <w:rPr>
          <w:rFonts w:hint="eastAsia" w:asciiTheme="minorEastAsia" w:hAnsiTheme="minorEastAsia"/>
          <w:b/>
          <w:sz w:val="22"/>
        </w:rPr>
        <w:t xml:space="preserve">     5.2 乙方关于订货产品检查、试验等结果的记录，至少应在</w:t>
      </w:r>
      <w:r>
        <w:rPr>
          <w:rFonts w:hint="eastAsia" w:asciiTheme="minorEastAsia" w:hAnsiTheme="minorEastAsia"/>
          <w:b/>
          <w:color w:val="000000" w:themeColor="text1"/>
          <w:sz w:val="22"/>
          <w14:textFill>
            <w14:solidFill>
              <w14:schemeClr w14:val="tx1"/>
            </w14:solidFill>
          </w14:textFill>
        </w:rPr>
        <w:t>产品质量保证期限</w:t>
      </w:r>
      <w:r>
        <w:rPr>
          <w:rFonts w:hint="eastAsia" w:asciiTheme="minorEastAsia" w:hAnsiTheme="minorEastAsia"/>
          <w:b/>
          <w:sz w:val="22"/>
        </w:rPr>
        <w:t>内妥善保管。甲方要求时，应允许甲方阅览或提交其副本。</w:t>
      </w:r>
    </w:p>
    <w:p>
      <w:pPr>
        <w:jc w:val="left"/>
        <w:rPr>
          <w:rFonts w:asciiTheme="minorEastAsia" w:hAnsiTheme="minorEastAsia"/>
          <w:b/>
          <w:sz w:val="22"/>
        </w:rPr>
      </w:pPr>
      <w:r>
        <w:rPr>
          <w:rFonts w:hint="eastAsia" w:asciiTheme="minorEastAsia" w:hAnsiTheme="minorEastAsia"/>
          <w:b/>
          <w:sz w:val="22"/>
        </w:rPr>
        <w:t xml:space="preserve">     5.3 为了达到订货产品批量追踪的目的，乙方应根据甲乙双方另行商定的办法，进行生产批次的可追溯性管理。</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6．质量责任</w:t>
      </w:r>
    </w:p>
    <w:p>
      <w:pPr>
        <w:jc w:val="left"/>
        <w:rPr>
          <w:rFonts w:asciiTheme="minorEastAsia" w:hAnsiTheme="minorEastAsia"/>
          <w:b/>
          <w:sz w:val="22"/>
        </w:rPr>
      </w:pPr>
      <w:r>
        <w:rPr>
          <w:rFonts w:hint="eastAsia" w:asciiTheme="minorEastAsia" w:hAnsiTheme="minorEastAsia"/>
          <w:b/>
          <w:sz w:val="22"/>
        </w:rPr>
        <w:t xml:space="preserve">     6.1 甲方对质量问题的事实和损失情况负有举证责任，乙方承担证明该产品合格的举证责任。</w:t>
      </w:r>
    </w:p>
    <w:p>
      <w:pPr>
        <w:jc w:val="left"/>
        <w:rPr>
          <w:rFonts w:asciiTheme="minorEastAsia" w:hAnsiTheme="minorEastAsia"/>
          <w:b/>
          <w:color w:val="FF0000"/>
          <w:sz w:val="22"/>
        </w:rPr>
      </w:pPr>
      <w:r>
        <w:rPr>
          <w:rFonts w:hint="eastAsia" w:asciiTheme="minorEastAsia" w:hAnsiTheme="minorEastAsia"/>
          <w:b/>
          <w:sz w:val="22"/>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FF0000"/>
          <w:sz w:val="22"/>
        </w:rPr>
        <w:t>甲方进行材料、性能等年度强制性试验所产生的费用需由乙方承担。</w:t>
      </w:r>
    </w:p>
    <w:p>
      <w:pPr>
        <w:jc w:val="left"/>
        <w:rPr>
          <w:rFonts w:asciiTheme="minorEastAsia" w:hAnsiTheme="minorEastAsia"/>
          <w:b/>
          <w:sz w:val="22"/>
        </w:rPr>
      </w:pPr>
      <w:r>
        <w:rPr>
          <w:rFonts w:hint="eastAsia" w:asciiTheme="minorEastAsia" w:hAnsiTheme="minorEastAsia"/>
          <w:b/>
          <w:color w:val="000000" w:themeColor="text1"/>
          <w:sz w:val="22"/>
          <w14:textFill>
            <w14:solidFill>
              <w14:schemeClr w14:val="tx1"/>
            </w14:solidFill>
          </w14:textFill>
        </w:rPr>
        <w:t xml:space="preserve">     6.3 乙方应对自己的原材料、零部件进行严格的进货检验，建立和保</w:t>
      </w:r>
      <w:r>
        <w:rPr>
          <w:rFonts w:hint="eastAsia" w:asciiTheme="minorEastAsia" w:hAnsiTheme="minorEastAsia"/>
          <w:b/>
          <w:sz w:val="22"/>
        </w:rPr>
        <w:t>存进货检验的原始记录。</w:t>
      </w:r>
    </w:p>
    <w:p>
      <w:pPr>
        <w:jc w:val="left"/>
        <w:rPr>
          <w:rFonts w:asciiTheme="minorEastAsia" w:hAnsiTheme="minorEastAsia"/>
          <w:b/>
          <w:sz w:val="22"/>
        </w:rPr>
      </w:pPr>
      <w:r>
        <w:rPr>
          <w:rFonts w:hint="eastAsia" w:asciiTheme="minorEastAsia" w:hAnsiTheme="minor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2"/>
        </w:rPr>
      </w:pPr>
      <w:r>
        <w:rPr>
          <w:rFonts w:hint="eastAsia" w:asciiTheme="minorEastAsia" w:hAnsiTheme="minorEastAsia"/>
          <w:b/>
          <w:sz w:val="22"/>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2"/>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2"/>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2"/>
        </w:rPr>
      </w:pPr>
      <w:r>
        <w:rPr>
          <w:rFonts w:hint="eastAsia" w:asciiTheme="minorEastAsia" w:hAnsiTheme="minor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2"/>
        </w:rPr>
      </w:pPr>
      <w:r>
        <w:rPr>
          <w:rFonts w:hint="eastAsia" w:asciiTheme="minorEastAsia" w:hAnsiTheme="minorEastAsia"/>
          <w:b/>
          <w:sz w:val="22"/>
        </w:rPr>
        <w:t xml:space="preserve">     6.7 发生以下情形，乙方应承担相应的违约责任</w:t>
      </w:r>
    </w:p>
    <w:p>
      <w:pPr>
        <w:jc w:val="left"/>
        <w:rPr>
          <w:rFonts w:asciiTheme="minorEastAsia" w:hAnsiTheme="minorEastAsia"/>
          <w:b/>
          <w:sz w:val="22"/>
        </w:rPr>
      </w:pPr>
      <w:r>
        <w:rPr>
          <w:rFonts w:hint="eastAsia" w:asciiTheme="minorEastAsia" w:hAnsiTheme="minorEastAsia"/>
          <w:b/>
          <w:sz w:val="22"/>
        </w:rPr>
        <w:t xml:space="preserve">     6.7.1 乙方交货时间超出订单合约交期（交期延误）。</w:t>
      </w:r>
    </w:p>
    <w:p>
      <w:pPr>
        <w:jc w:val="left"/>
        <w:rPr>
          <w:rFonts w:asciiTheme="minorEastAsia" w:hAnsiTheme="minorEastAsia"/>
          <w:b/>
          <w:sz w:val="22"/>
        </w:rPr>
      </w:pPr>
      <w:r>
        <w:rPr>
          <w:rFonts w:hint="eastAsia" w:asciiTheme="minorEastAsia" w:hAnsiTheme="minorEastAsia"/>
          <w:b/>
          <w:sz w:val="22"/>
        </w:rPr>
        <w:t xml:space="preserve">     6.7.2</w:t>
      </w:r>
      <w:r>
        <w:rPr>
          <w:rFonts w:hint="eastAsia" w:asciiTheme="minorEastAsia" w:hAnsiTheme="minorEastAsia"/>
          <w:b/>
          <w:color w:val="FF0000"/>
          <w:sz w:val="22"/>
        </w:rPr>
        <w:t xml:space="preserve"> </w:t>
      </w:r>
      <w:r>
        <w:rPr>
          <w:rFonts w:hint="eastAsia" w:asciiTheme="minorEastAsia" w:hAnsiTheme="minorEastAsia"/>
          <w:b/>
          <w:sz w:val="22"/>
        </w:rPr>
        <w:t>乙方原材料、零部件因包装、运输品质问题导致甲方生产线停线。</w:t>
      </w:r>
    </w:p>
    <w:p>
      <w:pPr>
        <w:jc w:val="left"/>
        <w:rPr>
          <w:rFonts w:asciiTheme="minorEastAsia" w:hAnsiTheme="minorEastAsia"/>
          <w:b/>
          <w:sz w:val="22"/>
        </w:rPr>
      </w:pPr>
      <w:r>
        <w:rPr>
          <w:rFonts w:hint="eastAsia" w:asciiTheme="minorEastAsia" w:hAnsiTheme="minorEastAsia"/>
          <w:b/>
          <w:sz w:val="22"/>
        </w:rPr>
        <w:t xml:space="preserve">     6.7.3 乙方原材料、零部件在甲方入厂检验时因品质问题乙方不能及时处理而造成甲方停线。</w:t>
      </w:r>
    </w:p>
    <w:p>
      <w:pPr>
        <w:jc w:val="left"/>
        <w:rPr>
          <w:rFonts w:asciiTheme="minorEastAsia" w:hAnsiTheme="minorEastAsia"/>
          <w:b/>
          <w:sz w:val="22"/>
        </w:rPr>
      </w:pPr>
      <w:r>
        <w:rPr>
          <w:rFonts w:hint="eastAsia" w:asciiTheme="minorEastAsia" w:hAnsiTheme="minorEastAsia"/>
          <w:b/>
          <w:sz w:val="22"/>
        </w:rPr>
        <w:t xml:space="preserve">     6.7.4 乙方原材料、零部件在甲方生产过程中发生品质异常造成甲方生产线停线，或导致甲方已生产的产品返工、返修。</w:t>
      </w:r>
    </w:p>
    <w:p>
      <w:pPr>
        <w:jc w:val="left"/>
        <w:rPr>
          <w:rFonts w:asciiTheme="minorEastAsia" w:hAnsiTheme="minorEastAsia"/>
          <w:b/>
          <w:sz w:val="22"/>
        </w:rPr>
      </w:pPr>
      <w:r>
        <w:rPr>
          <w:rFonts w:hint="eastAsia" w:asciiTheme="minorEastAsia" w:hAnsiTheme="minorEastAsia"/>
          <w:b/>
          <w:sz w:val="22"/>
        </w:rPr>
        <w:t xml:space="preserve">     6.7.5 因乙方原材料、零部件质量问题造成甲方产品出厂后发生批量质量事故（如退货等）。</w:t>
      </w:r>
    </w:p>
    <w:p>
      <w:pPr>
        <w:jc w:val="left"/>
        <w:rPr>
          <w:rFonts w:asciiTheme="minorEastAsia" w:hAnsiTheme="minorEastAsia"/>
          <w:b/>
          <w:sz w:val="22"/>
        </w:rPr>
      </w:pPr>
      <w:r>
        <w:rPr>
          <w:rFonts w:hint="eastAsia" w:asciiTheme="minorEastAsia" w:hAnsiTheme="minorEastAsia"/>
          <w:b/>
          <w:sz w:val="22"/>
        </w:rPr>
        <w:t xml:space="preserve">     6.7.6 因乙方原材料、零部件质量问题造成产品用户在使用中出现危及人身、财产安全或丧失使用价值的情形。</w:t>
      </w:r>
    </w:p>
    <w:p>
      <w:pPr>
        <w:jc w:val="left"/>
        <w:rPr>
          <w:rFonts w:asciiTheme="minorEastAsia" w:hAnsiTheme="minorEastAsia"/>
          <w:b/>
          <w:sz w:val="22"/>
        </w:rPr>
      </w:pPr>
      <w:r>
        <w:rPr>
          <w:rFonts w:hint="eastAsia" w:asciiTheme="minorEastAsia" w:hAnsiTheme="minorEastAsia"/>
          <w:b/>
          <w:sz w:val="22"/>
        </w:rPr>
        <w:t xml:space="preserve">     6.7.7 乙方原材料、零部件在装配直到用户使用过程中发现有质量问题且造成损失。</w:t>
      </w:r>
    </w:p>
    <w:p>
      <w:pPr>
        <w:jc w:val="left"/>
        <w:rPr>
          <w:rFonts w:asciiTheme="minorEastAsia" w:hAnsiTheme="minorEastAsia"/>
          <w:b/>
          <w:sz w:val="22"/>
        </w:rPr>
      </w:pPr>
      <w:r>
        <w:rPr>
          <w:rFonts w:hint="eastAsia" w:asciiTheme="minorEastAsia" w:hAnsiTheme="minorEastAsia"/>
          <w:b/>
          <w:sz w:val="22"/>
        </w:rPr>
        <w:t xml:space="preserve">     6.7.8 因乙方对其产品材料的技术和商业机密泄露造成的损失。</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7．交货需遵守的规则</w:t>
      </w:r>
    </w:p>
    <w:p>
      <w:pPr>
        <w:jc w:val="left"/>
        <w:rPr>
          <w:rFonts w:asciiTheme="minorEastAsia" w:hAnsiTheme="minorEastAsia"/>
          <w:b/>
          <w:sz w:val="22"/>
        </w:rPr>
      </w:pPr>
      <w:r>
        <w:rPr>
          <w:rFonts w:hint="eastAsia" w:asciiTheme="minorEastAsia" w:hAnsiTheme="minor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2"/>
        </w:rPr>
      </w:pPr>
      <w:r>
        <w:rPr>
          <w:rFonts w:hint="eastAsia" w:asciiTheme="minorEastAsia" w:hAnsiTheme="minorEastAsia"/>
          <w:b/>
          <w:sz w:val="22"/>
        </w:rPr>
        <w:t xml:space="preserve">     7.2 乙方初次交货时要提供可靠性试验报告，以后每年至少提供一次。</w:t>
      </w:r>
    </w:p>
    <w:p>
      <w:pPr>
        <w:jc w:val="left"/>
        <w:rPr>
          <w:rFonts w:asciiTheme="minorEastAsia" w:hAnsiTheme="minorEastAsia"/>
          <w:b/>
          <w:sz w:val="22"/>
        </w:rPr>
      </w:pPr>
      <w:r>
        <w:rPr>
          <w:rFonts w:hint="eastAsia" w:asciiTheme="minorEastAsia" w:hAnsiTheme="minorEastAsia"/>
          <w:b/>
          <w:sz w:val="22"/>
        </w:rPr>
        <w:t xml:space="preserve">     7.3 对于塑胶原料、化学有机溶剂等需要提供化学成份分析表、安全使用说明书。</w:t>
      </w:r>
    </w:p>
    <w:p>
      <w:pPr>
        <w:jc w:val="left"/>
        <w:rPr>
          <w:rFonts w:asciiTheme="minorEastAsia" w:hAnsiTheme="minorEastAsia"/>
          <w:b/>
          <w:sz w:val="22"/>
        </w:rPr>
      </w:pPr>
      <w:r>
        <w:rPr>
          <w:rFonts w:hint="eastAsia" w:asciiTheme="minorEastAsia" w:hAnsiTheme="minorEastAsia"/>
          <w:b/>
          <w:sz w:val="22"/>
        </w:rPr>
        <w:t xml:space="preserve">     7.4 包装箱、外包装必须标注产品合格证、产品名称、型号规格、出货日期、批号、数量、公司名称等信息。</w:t>
      </w:r>
    </w:p>
    <w:p>
      <w:pPr>
        <w:jc w:val="left"/>
        <w:rPr>
          <w:rFonts w:asciiTheme="minorEastAsia" w:hAnsiTheme="minorEastAsia"/>
          <w:b/>
          <w:sz w:val="22"/>
        </w:rPr>
      </w:pPr>
      <w:r>
        <w:rPr>
          <w:rFonts w:hint="eastAsia" w:asciiTheme="minorEastAsia" w:hAnsiTheme="minorEastAsia"/>
          <w:b/>
          <w:sz w:val="22"/>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8．赔偿的具体要求和办法</w:t>
      </w:r>
    </w:p>
    <w:p>
      <w:pPr>
        <w:jc w:val="left"/>
        <w:rPr>
          <w:rFonts w:asciiTheme="minorEastAsia" w:hAnsiTheme="minorEastAsia"/>
          <w:b/>
          <w:sz w:val="22"/>
        </w:rPr>
      </w:pPr>
      <w:r>
        <w:rPr>
          <w:rFonts w:hint="eastAsia" w:asciiTheme="minorEastAsia" w:hAnsiTheme="minor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pPr>
        <w:jc w:val="left"/>
        <w:rPr>
          <w:rFonts w:asciiTheme="minorEastAsia" w:hAnsiTheme="minorEastAsia"/>
          <w:b/>
          <w:sz w:val="22"/>
        </w:rPr>
      </w:pPr>
      <w:r>
        <w:rPr>
          <w:rFonts w:hint="eastAsia" w:asciiTheme="minorEastAsia" w:hAnsiTheme="minorEastAsia"/>
          <w:b/>
          <w:sz w:val="22"/>
        </w:rPr>
        <w:t xml:space="preserve">     8.2 乙方不合格品的让步接收</w:t>
      </w:r>
    </w:p>
    <w:p>
      <w:pPr>
        <w:ind w:firstLine="541" w:firstLineChars="245"/>
        <w:jc w:val="left"/>
        <w:rPr>
          <w:rFonts w:asciiTheme="minorEastAsia" w:hAnsiTheme="minorEastAsia"/>
          <w:b/>
          <w:sz w:val="22"/>
        </w:rPr>
      </w:pPr>
      <w:r>
        <w:rPr>
          <w:rFonts w:hint="eastAsia" w:asciiTheme="minorEastAsia" w:hAnsiTheme="minor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41" w:firstLineChars="245"/>
        <w:jc w:val="left"/>
        <w:rPr>
          <w:rFonts w:asciiTheme="minorEastAsia" w:hAnsiTheme="minorEastAsia"/>
          <w:b/>
          <w:sz w:val="22"/>
        </w:rPr>
      </w:pPr>
      <w:r>
        <w:rPr>
          <w:rFonts w:hint="eastAsia" w:asciiTheme="minorEastAsia" w:hAnsiTheme="minorEastAsia"/>
          <w:b/>
          <w:sz w:val="22"/>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2"/>
        </w:rPr>
      </w:pPr>
      <w:r>
        <w:rPr>
          <w:rFonts w:hint="eastAsia" w:asciiTheme="minorEastAsia" w:hAnsiTheme="minorEastAsia"/>
          <w:b/>
          <w:sz w:val="22"/>
        </w:rPr>
        <w:t xml:space="preserve">     8.3 甲方向乙方发出质量异常反馈单，乙方应在三天内进行回复，如有延迟按500元/天承担违约责任，若甲方要求退货，乙方未按时回复的，视为乙方完全接受退货。</w:t>
      </w:r>
    </w:p>
    <w:p>
      <w:pPr>
        <w:jc w:val="left"/>
        <w:rPr>
          <w:rFonts w:asciiTheme="minorEastAsia" w:hAnsiTheme="minorEastAsia"/>
          <w:b/>
          <w:sz w:val="22"/>
        </w:rPr>
      </w:pPr>
      <w:r>
        <w:rPr>
          <w:rFonts w:hint="eastAsia" w:asciiTheme="minorEastAsia" w:hAnsiTheme="minorEastAsia"/>
          <w:b/>
          <w:sz w:val="22"/>
        </w:rPr>
        <w:t xml:space="preserve">     8.4 乙方原材料入厂后连续3次以上（含3次）在甲方发生品质问题，甲方有权要求乙方承担违约责任，违约金数额为5000至10000元。</w:t>
      </w:r>
    </w:p>
    <w:p>
      <w:pPr>
        <w:jc w:val="left"/>
        <w:rPr>
          <w:rFonts w:asciiTheme="minorEastAsia" w:hAnsiTheme="minorEastAsia"/>
          <w:b/>
          <w:sz w:val="22"/>
        </w:rPr>
      </w:pPr>
      <w:r>
        <w:rPr>
          <w:rFonts w:hint="eastAsia" w:asciiTheme="minorEastAsia" w:hAnsiTheme="minorEastAsia"/>
          <w:b/>
          <w:sz w:val="22"/>
        </w:rPr>
        <w:t xml:space="preserve">    </w:t>
      </w:r>
      <w:r>
        <w:rPr>
          <w:rFonts w:hint="eastAsia" w:asciiTheme="minorEastAsia" w:hAnsiTheme="minorEastAsia"/>
          <w:color w:val="FFFF00"/>
          <w:sz w:val="22"/>
        </w:rPr>
        <w:t xml:space="preserve"> </w:t>
      </w:r>
      <w:r>
        <w:rPr>
          <w:rFonts w:hint="eastAsia" w:asciiTheme="minorEastAsia" w:hAnsiTheme="minor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pPr>
        <w:jc w:val="left"/>
        <w:rPr>
          <w:rFonts w:asciiTheme="minorEastAsia" w:hAnsiTheme="minorEastAsia"/>
          <w:b/>
          <w:sz w:val="22"/>
        </w:rPr>
      </w:pPr>
      <w:r>
        <w:rPr>
          <w:rFonts w:hint="eastAsia" w:asciiTheme="minorEastAsia" w:hAnsiTheme="minor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2"/>
        </w:rPr>
      </w:pPr>
      <w:r>
        <w:rPr>
          <w:rFonts w:hint="eastAsia" w:asciiTheme="minorEastAsia" w:hAnsiTheme="minorEastAsia"/>
          <w:b/>
          <w:sz w:val="22"/>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2"/>
        </w:rPr>
      </w:pPr>
      <w:r>
        <w:rPr>
          <w:rFonts w:hint="eastAsia" w:asciiTheme="minorEastAsia" w:hAnsiTheme="minorEastAsia"/>
          <w:b/>
          <w:sz w:val="22"/>
        </w:rPr>
        <w:t xml:space="preserve">     8.8 在乙方发生质量异常时，甲方将按附件一《</w:t>
      </w:r>
      <w:r>
        <w:rPr>
          <w:rFonts w:hint="eastAsia" w:ascii="Calibri" w:hAnsi="Calibri"/>
          <w:b/>
          <w:sz w:val="22"/>
        </w:rPr>
        <w:t>供应商质量考核实施标准</w:t>
      </w:r>
      <w:r>
        <w:rPr>
          <w:rFonts w:hint="eastAsia" w:asciiTheme="minorEastAsia" w:hAnsiTheme="minorEastAsia"/>
          <w:b/>
          <w:sz w:val="22"/>
        </w:rPr>
        <w:t>》进行处罚。</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11．协议变更：对本协议任何内容的变更或增加，均需由甲乙双方协商一致签订补充协议。</w:t>
      </w:r>
    </w:p>
    <w:p>
      <w:pPr>
        <w:jc w:val="left"/>
        <w:rPr>
          <w:rFonts w:asciiTheme="minorEastAsia" w:hAnsiTheme="minorEastAsia"/>
          <w:b/>
          <w:sz w:val="22"/>
        </w:rPr>
      </w:pPr>
    </w:p>
    <w:p>
      <w:pPr>
        <w:jc w:val="left"/>
        <w:rPr>
          <w:rFonts w:asciiTheme="minorEastAsia" w:hAnsiTheme="minorEastAsia"/>
          <w:b/>
          <w:color w:val="FF0000"/>
          <w:sz w:val="22"/>
        </w:rPr>
      </w:pPr>
      <w:r>
        <w:rPr>
          <w:rFonts w:hint="eastAsia" w:asciiTheme="minorEastAsia" w:hAnsiTheme="minor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2"/>
        </w:rPr>
      </w:pPr>
    </w:p>
    <w:p>
      <w:pPr>
        <w:jc w:val="left"/>
        <w:rPr>
          <w:rFonts w:asciiTheme="minorEastAsia" w:hAnsiTheme="minorEastAsia"/>
          <w:b/>
          <w:sz w:val="22"/>
        </w:rPr>
      </w:pPr>
      <w:r>
        <w:rPr>
          <w:rFonts w:hint="eastAsia" w:asciiTheme="minorEastAsia" w:hAnsiTheme="minor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2"/>
        </w:rPr>
      </w:pPr>
    </w:p>
    <w:p>
      <w:pPr>
        <w:jc w:val="left"/>
        <w:rPr>
          <w:rFonts w:asciiTheme="minorEastAsia" w:hAnsiTheme="minorEastAsia"/>
          <w:b/>
          <w:sz w:val="22"/>
          <w:szCs w:val="18"/>
        </w:rPr>
      </w:pPr>
      <w:r>
        <w:rPr>
          <w:rFonts w:hint="eastAsia" w:asciiTheme="minorEastAsia" w:hAnsiTheme="minorEastAsia"/>
          <w:b/>
          <w:sz w:val="22"/>
        </w:rPr>
        <w:t xml:space="preserve">     14．本协议一式二份，甲乙双方各保留一份。</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FF0000"/>
          <w:sz w:val="24"/>
          <w:szCs w:val="18"/>
        </w:rPr>
        <w:t xml:space="preserve">（荣昌各工厂名称全称） </w:t>
      </w:r>
      <w:r>
        <w:rPr>
          <w:rFonts w:hint="eastAsia" w:asciiTheme="minorEastAsia" w:hAnsiTheme="minorEastAsia"/>
          <w:b/>
          <w:sz w:val="24"/>
          <w:szCs w:val="18"/>
        </w:rPr>
        <w:t xml:space="preserve">            乙 方：</w:t>
      </w:r>
      <w:r>
        <w:rPr>
          <w:rFonts w:hint="eastAsia" w:asciiTheme="minorEastAsia" w:hAnsiTheme="minorEastAsia"/>
          <w:b/>
          <w:color w:val="FF0000"/>
          <w:sz w:val="24"/>
          <w:szCs w:val="18"/>
        </w:rPr>
        <w:t>（供应商名称全称）</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FF0000"/>
          <w:sz w:val="24"/>
          <w:szCs w:val="18"/>
        </w:rPr>
        <w:t>（荣昌各工厂详细地址）</w:t>
      </w:r>
      <w:r>
        <w:rPr>
          <w:rFonts w:hint="eastAsia" w:asciiTheme="minorEastAsia" w:hAnsiTheme="minorEastAsia"/>
          <w:b/>
          <w:sz w:val="24"/>
          <w:szCs w:val="18"/>
        </w:rPr>
        <w:t xml:space="preserve">             地 址：</w:t>
      </w:r>
      <w:r>
        <w:rPr>
          <w:rFonts w:hint="eastAsia" w:asciiTheme="minorEastAsia" w:hAnsiTheme="minorEastAsia"/>
          <w:b/>
          <w:color w:val="FF0000"/>
          <w:sz w:val="24"/>
          <w:szCs w:val="18"/>
        </w:rPr>
        <w:t>（供应商详细地址）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代 表：</w:t>
      </w:r>
      <w:r>
        <w:rPr>
          <w:rFonts w:hint="eastAsia" w:asciiTheme="minorEastAsia" w:hAnsiTheme="minorEastAsia"/>
          <w:b/>
          <w:color w:val="FF0000"/>
          <w:sz w:val="24"/>
          <w:szCs w:val="18"/>
        </w:rPr>
        <w:t>（签字盖合同章）</w:t>
      </w:r>
      <w:r>
        <w:rPr>
          <w:rFonts w:hint="eastAsia" w:asciiTheme="minorEastAsia" w:hAnsiTheme="minorEastAsia"/>
          <w:b/>
          <w:sz w:val="24"/>
          <w:szCs w:val="18"/>
        </w:rPr>
        <w:t xml:space="preserve">                   代 表：</w:t>
      </w:r>
      <w:r>
        <w:rPr>
          <w:rFonts w:hint="eastAsia" w:asciiTheme="minorEastAsia" w:hAnsiTheme="minorEastAsia"/>
          <w:b/>
          <w:color w:val="FF0000"/>
          <w:sz w:val="24"/>
          <w:szCs w:val="18"/>
        </w:rPr>
        <w:t>（签字盖合同章）</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rPr>
          <w:b/>
        </w:rPr>
      </w:pPr>
      <w:r>
        <w:rPr>
          <w:rFonts w:hint="eastAsia"/>
          <w:b/>
        </w:rPr>
        <w:t>附件一</w:t>
      </w:r>
    </w:p>
    <w:p>
      <w:pPr>
        <w:jc w:val="center"/>
        <w:rPr>
          <w:b/>
          <w:sz w:val="24"/>
        </w:rPr>
      </w:pPr>
      <w:r>
        <w:rPr>
          <w:rFonts w:hint="eastAsia"/>
          <w:b/>
          <w:sz w:val="28"/>
        </w:rPr>
        <w:t>供应商质量考核实施标准</w:t>
      </w:r>
    </w:p>
    <w:tbl>
      <w:tblPr>
        <w:tblStyle w:val="6"/>
        <w:tblW w:w="106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6"/>
        <w:gridCol w:w="1135"/>
        <w:gridCol w:w="4111"/>
        <w:gridCol w:w="4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jc w:val="center"/>
        </w:trPr>
        <w:tc>
          <w:tcPr>
            <w:tcW w:w="766" w:type="dxa"/>
            <w:vAlign w:val="center"/>
          </w:tcPr>
          <w:p>
            <w:pPr>
              <w:jc w:val="center"/>
              <w:rPr>
                <w:b/>
              </w:rPr>
            </w:pPr>
            <w:r>
              <w:rPr>
                <w:rFonts w:hint="eastAsia"/>
                <w:b/>
              </w:rPr>
              <w:t>序号</w:t>
            </w:r>
          </w:p>
        </w:tc>
        <w:tc>
          <w:tcPr>
            <w:tcW w:w="1135" w:type="dxa"/>
            <w:vAlign w:val="center"/>
          </w:tcPr>
          <w:p>
            <w:pPr>
              <w:jc w:val="center"/>
              <w:rPr>
                <w:b/>
              </w:rPr>
            </w:pPr>
            <w:r>
              <w:rPr>
                <w:rFonts w:hint="eastAsia"/>
                <w:b/>
              </w:rPr>
              <w:t>考核项目</w:t>
            </w:r>
          </w:p>
        </w:tc>
        <w:tc>
          <w:tcPr>
            <w:tcW w:w="4111" w:type="dxa"/>
            <w:vAlign w:val="center"/>
          </w:tcPr>
          <w:p>
            <w:pPr>
              <w:jc w:val="center"/>
              <w:rPr>
                <w:b/>
              </w:rPr>
            </w:pPr>
            <w:r>
              <w:rPr>
                <w:rFonts w:hint="eastAsia"/>
                <w:b/>
              </w:rPr>
              <w:t>采购质量激励类型</w:t>
            </w:r>
          </w:p>
        </w:tc>
        <w:tc>
          <w:tcPr>
            <w:tcW w:w="4677" w:type="dxa"/>
            <w:vAlign w:val="center"/>
          </w:tcPr>
          <w:p>
            <w:pPr>
              <w:jc w:val="center"/>
              <w:rPr>
                <w:b/>
              </w:rPr>
            </w:pPr>
            <w:r>
              <w:rPr>
                <w:rFonts w:hint="eastAsia"/>
                <w:b/>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766" w:type="dxa"/>
            <w:vAlign w:val="center"/>
          </w:tcPr>
          <w:p>
            <w:pPr>
              <w:rPr>
                <w:rFonts w:asciiTheme="minorEastAsia" w:hAnsiTheme="minorEastAsia"/>
                <w:b/>
              </w:rPr>
            </w:pPr>
            <w:r>
              <w:rPr>
                <w:rFonts w:hint="eastAsia" w:asciiTheme="minorEastAsia" w:hAnsiTheme="minorEastAsia"/>
                <w:b/>
              </w:rPr>
              <w:t>1</w:t>
            </w:r>
          </w:p>
        </w:tc>
        <w:tc>
          <w:tcPr>
            <w:tcW w:w="9923" w:type="dxa"/>
            <w:gridSpan w:val="3"/>
            <w:vAlign w:val="center"/>
          </w:tcPr>
          <w:p>
            <w:pPr>
              <w:rPr>
                <w:b/>
              </w:rPr>
            </w:pPr>
            <w:r>
              <w:rPr>
                <w:rFonts w:hint="eastAsia"/>
                <w:b/>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1.1</w:t>
            </w:r>
          </w:p>
        </w:tc>
        <w:tc>
          <w:tcPr>
            <w:tcW w:w="1135" w:type="dxa"/>
            <w:vMerge w:val="restart"/>
            <w:vAlign w:val="center"/>
          </w:tcPr>
          <w:p>
            <w:pPr>
              <w:jc w:val="center"/>
            </w:pPr>
            <w:r>
              <w:rPr>
                <w:rFonts w:hint="eastAsia"/>
              </w:rPr>
              <w:t>重大质</w:t>
            </w:r>
          </w:p>
          <w:p>
            <w:pPr>
              <w:jc w:val="center"/>
            </w:pPr>
            <w:r>
              <w:rPr>
                <w:rFonts w:hint="eastAsia"/>
              </w:rPr>
              <w:t>量问题</w:t>
            </w:r>
          </w:p>
        </w:tc>
        <w:tc>
          <w:tcPr>
            <w:tcW w:w="4111" w:type="dxa"/>
            <w:vAlign w:val="center"/>
          </w:tcPr>
          <w:p>
            <w:r>
              <w:rPr>
                <w:rFonts w:hint="eastAsia"/>
              </w:rPr>
              <w:t>因乙方零部件质量问题造成汽车在市场出现重大安全事故，座椅或后视镜被批量召回。</w:t>
            </w:r>
          </w:p>
        </w:tc>
        <w:tc>
          <w:tcPr>
            <w:tcW w:w="4677" w:type="dxa"/>
            <w:vAlign w:val="center"/>
          </w:tcPr>
          <w:p>
            <w:pPr>
              <w:pStyle w:val="11"/>
              <w:numPr>
                <w:ilvl w:val="0"/>
                <w:numId w:val="1"/>
              </w:numPr>
              <w:ind w:firstLineChars="0"/>
              <w:rPr>
                <w:rFonts w:asciiTheme="minorEastAsia" w:hAnsiTheme="minorEastAsia"/>
              </w:rPr>
            </w:pPr>
            <w:r>
              <w:rPr>
                <w:rFonts w:hint="eastAsia" w:asciiTheme="minorEastAsia" w:hAnsiTheme="minorEastAsia"/>
              </w:rPr>
              <w:t>经评审后可取消供货资格</w:t>
            </w:r>
          </w:p>
          <w:p>
            <w:pPr>
              <w:pStyle w:val="11"/>
              <w:numPr>
                <w:ilvl w:val="0"/>
                <w:numId w:val="1"/>
              </w:numPr>
              <w:ind w:firstLineChars="0"/>
              <w:rPr>
                <w:rFonts w:asciiTheme="minorEastAsia" w:hAnsiTheme="minorEastAsia"/>
              </w:rPr>
            </w:pPr>
            <w:r>
              <w:rPr>
                <w:rFonts w:hint="eastAsia" w:asciiTheme="minorEastAsia" w:hAnsiTheme="minorEastAsia"/>
              </w:rPr>
              <w:t>可以同时考核1万元至50万元</w:t>
            </w:r>
          </w:p>
          <w:p>
            <w:pPr>
              <w:pStyle w:val="11"/>
              <w:numPr>
                <w:ilvl w:val="0"/>
                <w:numId w:val="1"/>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jc w:val="center"/>
        </w:trPr>
        <w:tc>
          <w:tcPr>
            <w:tcW w:w="766" w:type="dxa"/>
            <w:vAlign w:val="center"/>
          </w:tcPr>
          <w:p>
            <w:pPr>
              <w:rPr>
                <w:rFonts w:asciiTheme="minorEastAsia" w:hAnsiTheme="minorEastAsia"/>
              </w:rPr>
            </w:pPr>
            <w:r>
              <w:rPr>
                <w:rFonts w:hint="eastAsia" w:asciiTheme="minorEastAsia" w:hAnsiTheme="minorEastAsia"/>
              </w:rPr>
              <w:t>1.2</w:t>
            </w:r>
          </w:p>
        </w:tc>
        <w:tc>
          <w:tcPr>
            <w:tcW w:w="1135" w:type="dxa"/>
            <w:vMerge w:val="continue"/>
            <w:vAlign w:val="center"/>
          </w:tcPr>
          <w:p/>
        </w:tc>
        <w:tc>
          <w:tcPr>
            <w:tcW w:w="4111" w:type="dxa"/>
            <w:vAlign w:val="center"/>
          </w:tcPr>
          <w:p>
            <w:r>
              <w:rPr>
                <w:rFonts w:hint="eastAsia"/>
              </w:rPr>
              <w:t>因乙方零部件质量问题造成主机厂停线，4S店、主机厂各环节整车排查。</w:t>
            </w:r>
          </w:p>
        </w:tc>
        <w:tc>
          <w:tcPr>
            <w:tcW w:w="4677" w:type="dxa"/>
            <w:vAlign w:val="center"/>
          </w:tcPr>
          <w:p>
            <w:pPr>
              <w:pStyle w:val="11"/>
              <w:numPr>
                <w:ilvl w:val="0"/>
                <w:numId w:val="2"/>
              </w:numPr>
              <w:ind w:firstLineChars="0"/>
              <w:rPr>
                <w:rFonts w:asciiTheme="minorEastAsia" w:hAnsiTheme="minorEastAsia"/>
              </w:rPr>
            </w:pPr>
            <w:r>
              <w:rPr>
                <w:rFonts w:hint="eastAsia" w:asciiTheme="minorEastAsia" w:hAnsiTheme="minorEastAsia"/>
              </w:rPr>
              <w:t>经评审后可停止供货</w:t>
            </w:r>
          </w:p>
          <w:p>
            <w:pPr>
              <w:pStyle w:val="11"/>
              <w:numPr>
                <w:ilvl w:val="0"/>
                <w:numId w:val="2"/>
              </w:numPr>
              <w:ind w:firstLineChars="0"/>
              <w:rPr>
                <w:rFonts w:asciiTheme="minorEastAsia" w:hAnsiTheme="minorEastAsia"/>
              </w:rPr>
            </w:pPr>
            <w:r>
              <w:rPr>
                <w:rFonts w:hint="eastAsia" w:asciiTheme="minorEastAsia" w:hAnsiTheme="minorEastAsia"/>
              </w:rPr>
              <w:t>可以同时考核5仟元至15万元</w:t>
            </w:r>
          </w:p>
          <w:p>
            <w:pPr>
              <w:pStyle w:val="11"/>
              <w:numPr>
                <w:ilvl w:val="0"/>
                <w:numId w:val="2"/>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766" w:type="dxa"/>
            <w:vAlign w:val="center"/>
          </w:tcPr>
          <w:p>
            <w:pPr>
              <w:rPr>
                <w:rFonts w:asciiTheme="minorEastAsia" w:hAnsiTheme="minorEastAsia"/>
              </w:rPr>
            </w:pPr>
            <w:r>
              <w:rPr>
                <w:rFonts w:hint="eastAsia" w:asciiTheme="minorEastAsia" w:hAnsiTheme="minorEastAsia"/>
              </w:rPr>
              <w:t>1.3</w:t>
            </w:r>
          </w:p>
        </w:tc>
        <w:tc>
          <w:tcPr>
            <w:tcW w:w="1135" w:type="dxa"/>
            <w:vMerge w:val="restart"/>
            <w:vAlign w:val="center"/>
          </w:tcPr>
          <w:p>
            <w:pPr>
              <w:jc w:val="center"/>
            </w:pPr>
            <w:r>
              <w:rPr>
                <w:rFonts w:hint="eastAsia"/>
              </w:rPr>
              <w:t>严重质</w:t>
            </w:r>
          </w:p>
          <w:p>
            <w:pPr>
              <w:jc w:val="center"/>
            </w:pPr>
            <w:r>
              <w:rPr>
                <w:rFonts w:hint="eastAsia"/>
              </w:rPr>
              <w:t>量问题</w:t>
            </w:r>
          </w:p>
        </w:tc>
        <w:tc>
          <w:tcPr>
            <w:tcW w:w="4111" w:type="dxa"/>
            <w:vAlign w:val="center"/>
          </w:tcPr>
          <w:p>
            <w:r>
              <w:rPr>
                <w:rFonts w:hint="eastAsia"/>
              </w:rPr>
              <w:t>乙方未严格管控导致零部件出现批量严重质量问题，主机厂投诉、甲方停线。</w:t>
            </w:r>
          </w:p>
        </w:tc>
        <w:tc>
          <w:tcPr>
            <w:tcW w:w="4677" w:type="dxa"/>
            <w:vMerge w:val="restart"/>
            <w:vAlign w:val="center"/>
          </w:tcPr>
          <w:p>
            <w:pPr>
              <w:pStyle w:val="11"/>
              <w:numPr>
                <w:ilvl w:val="0"/>
                <w:numId w:val="3"/>
              </w:numPr>
              <w:ind w:firstLineChars="0"/>
              <w:rPr>
                <w:rFonts w:asciiTheme="minorEastAsia" w:hAnsiTheme="minorEastAsia"/>
              </w:rPr>
            </w:pPr>
            <w:r>
              <w:rPr>
                <w:rFonts w:hint="eastAsia" w:asciiTheme="minorEastAsia" w:hAnsiTheme="minorEastAsia"/>
              </w:rPr>
              <w:t>经评审后可暂停装用</w:t>
            </w:r>
          </w:p>
          <w:p>
            <w:pPr>
              <w:pStyle w:val="11"/>
              <w:numPr>
                <w:ilvl w:val="0"/>
                <w:numId w:val="3"/>
              </w:numPr>
              <w:ind w:firstLineChars="0"/>
              <w:rPr>
                <w:rFonts w:asciiTheme="minorEastAsia" w:hAnsiTheme="minorEastAsia"/>
              </w:rPr>
            </w:pPr>
            <w:r>
              <w:rPr>
                <w:rFonts w:hint="eastAsia" w:asciiTheme="minorEastAsia" w:hAnsiTheme="minorEastAsia"/>
              </w:rPr>
              <w:t>可以同时考核1万元至5万元</w:t>
            </w:r>
          </w:p>
          <w:p>
            <w:pPr>
              <w:pStyle w:val="11"/>
              <w:numPr>
                <w:ilvl w:val="0"/>
                <w:numId w:val="3"/>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jc w:val="center"/>
        </w:trPr>
        <w:tc>
          <w:tcPr>
            <w:tcW w:w="766" w:type="dxa"/>
            <w:vAlign w:val="center"/>
          </w:tcPr>
          <w:p>
            <w:pPr>
              <w:rPr>
                <w:rFonts w:asciiTheme="minorEastAsia" w:hAnsiTheme="minorEastAsia"/>
              </w:rPr>
            </w:pPr>
            <w:r>
              <w:rPr>
                <w:rFonts w:hint="eastAsia" w:asciiTheme="minorEastAsia" w:hAnsiTheme="minorEastAsia"/>
              </w:rPr>
              <w:t>1.4</w:t>
            </w:r>
          </w:p>
        </w:tc>
        <w:tc>
          <w:tcPr>
            <w:tcW w:w="1135" w:type="dxa"/>
            <w:vMerge w:val="continue"/>
            <w:vAlign w:val="center"/>
          </w:tcPr>
          <w:p>
            <w:pPr>
              <w:jc w:val="center"/>
            </w:pPr>
          </w:p>
        </w:tc>
        <w:tc>
          <w:tcPr>
            <w:tcW w:w="4111" w:type="dxa"/>
            <w:vAlign w:val="center"/>
          </w:tcPr>
          <w:p>
            <w:r>
              <w:rPr>
                <w:rFonts w:hint="eastAsia"/>
              </w:rPr>
              <w:t>乙方零部件质量问题导致甲方甩件生产，或成品批量更换、返修。</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jc w:val="center"/>
        </w:trPr>
        <w:tc>
          <w:tcPr>
            <w:tcW w:w="766" w:type="dxa"/>
            <w:vAlign w:val="center"/>
          </w:tcPr>
          <w:p>
            <w:pPr>
              <w:rPr>
                <w:rFonts w:asciiTheme="minorEastAsia" w:hAnsiTheme="minorEastAsia"/>
              </w:rPr>
            </w:pPr>
            <w:r>
              <w:rPr>
                <w:rFonts w:hint="eastAsia" w:asciiTheme="minorEastAsia" w:hAnsiTheme="minorEastAsia"/>
              </w:rPr>
              <w:t>1.5</w:t>
            </w:r>
          </w:p>
        </w:tc>
        <w:tc>
          <w:tcPr>
            <w:tcW w:w="1135" w:type="dxa"/>
            <w:vMerge w:val="continue"/>
            <w:vAlign w:val="center"/>
          </w:tcPr>
          <w:p/>
        </w:tc>
        <w:tc>
          <w:tcPr>
            <w:tcW w:w="4111" w:type="dxa"/>
            <w:vAlign w:val="center"/>
          </w:tcPr>
          <w:p>
            <w:r>
              <w:rPr>
                <w:rFonts w:hint="eastAsia"/>
              </w:rPr>
              <w:t>乙方零部件质量问题，乙方已发现但未及时报告甲方，导致批量排查、返修，或停线。</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1.6</w:t>
            </w:r>
          </w:p>
        </w:tc>
        <w:tc>
          <w:tcPr>
            <w:tcW w:w="1135" w:type="dxa"/>
            <w:vAlign w:val="center"/>
          </w:tcPr>
          <w:p>
            <w:pPr>
              <w:jc w:val="center"/>
            </w:pPr>
            <w:r>
              <w:rPr>
                <w:rFonts w:hint="eastAsia"/>
              </w:rPr>
              <w:t>一般质</w:t>
            </w:r>
          </w:p>
          <w:p>
            <w:pPr>
              <w:jc w:val="center"/>
            </w:pPr>
            <w:r>
              <w:rPr>
                <w:rFonts w:hint="eastAsia"/>
              </w:rPr>
              <w:t>量问题</w:t>
            </w:r>
          </w:p>
        </w:tc>
        <w:tc>
          <w:tcPr>
            <w:tcW w:w="4111" w:type="dxa"/>
            <w:vAlign w:val="center"/>
          </w:tcPr>
          <w:p>
            <w:r>
              <w:rPr>
                <w:rFonts w:hint="eastAsia"/>
              </w:rPr>
              <w:t>乙方零部件质量问题造成甲方生产、物流抱怨，严重影响甲方正常生产秩序。</w:t>
            </w:r>
          </w:p>
        </w:tc>
        <w:tc>
          <w:tcPr>
            <w:tcW w:w="4677" w:type="dxa"/>
            <w:vAlign w:val="center"/>
          </w:tcPr>
          <w:p>
            <w:pPr>
              <w:pStyle w:val="11"/>
              <w:numPr>
                <w:ilvl w:val="0"/>
                <w:numId w:val="4"/>
              </w:numPr>
              <w:ind w:firstLineChars="0"/>
              <w:rPr>
                <w:rFonts w:asciiTheme="minorEastAsia" w:hAnsiTheme="minorEastAsia"/>
              </w:rPr>
            </w:pPr>
            <w:r>
              <w:rPr>
                <w:rFonts w:hint="eastAsia" w:asciiTheme="minorEastAsia" w:hAnsiTheme="minorEastAsia"/>
              </w:rPr>
              <w:t>经评审后可暂停装用</w:t>
            </w:r>
          </w:p>
          <w:p>
            <w:pPr>
              <w:pStyle w:val="11"/>
              <w:numPr>
                <w:ilvl w:val="0"/>
                <w:numId w:val="4"/>
              </w:numPr>
              <w:ind w:firstLineChars="0"/>
              <w:rPr>
                <w:rFonts w:asciiTheme="minorEastAsia" w:hAnsiTheme="minorEastAsia"/>
              </w:rPr>
            </w:pPr>
            <w:r>
              <w:rPr>
                <w:rFonts w:hint="eastAsia" w:asciiTheme="minorEastAsia" w:hAnsiTheme="minorEastAsia"/>
              </w:rPr>
              <w:t>可以同时考核3仟元至1万元</w:t>
            </w:r>
          </w:p>
          <w:p>
            <w:pPr>
              <w:pStyle w:val="11"/>
              <w:numPr>
                <w:ilvl w:val="0"/>
                <w:numId w:val="4"/>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1.7</w:t>
            </w:r>
          </w:p>
        </w:tc>
        <w:tc>
          <w:tcPr>
            <w:tcW w:w="1135" w:type="dxa"/>
            <w:vAlign w:val="center"/>
          </w:tcPr>
          <w:p>
            <w:pPr>
              <w:jc w:val="center"/>
              <w:rPr>
                <w:highlight w:val="yellow"/>
              </w:rPr>
            </w:pPr>
            <w:r>
              <w:rPr>
                <w:rFonts w:hint="eastAsia"/>
                <w:highlight w:val="yellow"/>
              </w:rPr>
              <w:t>市场三包</w:t>
            </w:r>
          </w:p>
        </w:tc>
        <w:tc>
          <w:tcPr>
            <w:tcW w:w="4111" w:type="dxa"/>
            <w:vAlign w:val="center"/>
          </w:tcPr>
          <w:p>
            <w:pPr>
              <w:rPr>
                <w:highlight w:val="yellow"/>
              </w:rPr>
            </w:pPr>
            <w:r>
              <w:rPr>
                <w:rFonts w:hint="eastAsia"/>
                <w:highlight w:val="yellow"/>
              </w:rPr>
              <w:t>因乙方零部件问题造成的</w:t>
            </w:r>
            <w:bookmarkStart w:id="0" w:name="_GoBack"/>
            <w:bookmarkEnd w:id="0"/>
            <w:r>
              <w:rPr>
                <w:rFonts w:hint="eastAsia"/>
                <w:highlight w:val="yellow"/>
              </w:rPr>
              <w:t>市场三包，更换零部件及产品总成。</w:t>
            </w:r>
          </w:p>
        </w:tc>
        <w:tc>
          <w:tcPr>
            <w:tcW w:w="4677" w:type="dxa"/>
            <w:vAlign w:val="center"/>
          </w:tcPr>
          <w:p>
            <w:pPr>
              <w:pStyle w:val="11"/>
              <w:numPr>
                <w:ilvl w:val="0"/>
                <w:numId w:val="5"/>
              </w:numPr>
              <w:ind w:firstLineChars="0"/>
              <w:rPr>
                <w:rFonts w:asciiTheme="minorEastAsia" w:hAnsiTheme="minorEastAsia"/>
                <w:highlight w:val="yellow"/>
              </w:rPr>
            </w:pPr>
            <w:r>
              <w:rPr>
                <w:rFonts w:hint="eastAsia" w:asciiTheme="minorEastAsia" w:hAnsiTheme="minorEastAsia"/>
                <w:highlight w:val="yellow"/>
              </w:rPr>
              <w:t>索赔、换件所产生的经济损失由乙方承担</w:t>
            </w:r>
          </w:p>
          <w:p>
            <w:pPr>
              <w:pStyle w:val="11"/>
              <w:numPr>
                <w:ilvl w:val="0"/>
                <w:numId w:val="5"/>
              </w:numPr>
              <w:ind w:firstLineChars="0"/>
              <w:rPr>
                <w:rFonts w:asciiTheme="minorEastAsia" w:hAnsiTheme="minorEastAsia"/>
                <w:highlight w:val="yellow"/>
              </w:rPr>
            </w:pPr>
            <w:r>
              <w:rPr>
                <w:rFonts w:hint="eastAsia" w:asciiTheme="minorEastAsia" w:hAnsiTheme="minorEastAsia"/>
                <w:highlight w:val="yellow"/>
              </w:rPr>
              <w:t>维修费（含材料费、工时费、运费、差旅费等）由乙方承担</w:t>
            </w:r>
          </w:p>
          <w:p>
            <w:pPr>
              <w:pStyle w:val="11"/>
              <w:numPr>
                <w:ilvl w:val="0"/>
                <w:numId w:val="5"/>
              </w:numPr>
              <w:ind w:firstLineChars="0"/>
              <w:rPr>
                <w:rFonts w:asciiTheme="minorEastAsia" w:hAnsiTheme="minorEastAsia"/>
                <w:color w:val="FF0000"/>
                <w:highlight w:val="yellow"/>
              </w:rPr>
            </w:pPr>
            <w:r>
              <w:rPr>
                <w:rFonts w:hint="eastAsia" w:asciiTheme="minorEastAsia" w:hAnsiTheme="minorEastAsia"/>
                <w:highlight w:val="yellow"/>
              </w:rPr>
              <w:t>长期不整改，可经济考核5仟元至2万元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jc w:val="center"/>
        </w:trPr>
        <w:tc>
          <w:tcPr>
            <w:tcW w:w="766" w:type="dxa"/>
            <w:vAlign w:val="center"/>
          </w:tcPr>
          <w:p>
            <w:pPr>
              <w:rPr>
                <w:rFonts w:asciiTheme="minorEastAsia" w:hAnsiTheme="minorEastAsia"/>
              </w:rPr>
            </w:pPr>
            <w:r>
              <w:rPr>
                <w:rFonts w:hint="eastAsia" w:asciiTheme="minorEastAsia" w:hAnsiTheme="minorEastAsia"/>
              </w:rPr>
              <w:t>1.8</w:t>
            </w:r>
          </w:p>
        </w:tc>
        <w:tc>
          <w:tcPr>
            <w:tcW w:w="1135" w:type="dxa"/>
            <w:vMerge w:val="restart"/>
            <w:vAlign w:val="center"/>
          </w:tcPr>
          <w:p>
            <w:pPr>
              <w:jc w:val="center"/>
            </w:pPr>
            <w:r>
              <w:rPr>
                <w:rFonts w:hint="eastAsia"/>
              </w:rPr>
              <w:t>质量改进</w:t>
            </w:r>
          </w:p>
        </w:tc>
        <w:tc>
          <w:tcPr>
            <w:tcW w:w="4111" w:type="dxa"/>
            <w:vAlign w:val="center"/>
          </w:tcPr>
          <w:p>
            <w:r>
              <w:rPr>
                <w:rFonts w:hint="eastAsia"/>
              </w:rPr>
              <w:t>质</w:t>
            </w:r>
            <w:r>
              <w:rPr>
                <w:rFonts w:hint="eastAsia" w:asciiTheme="minorEastAsia" w:hAnsiTheme="minorEastAsia"/>
              </w:rPr>
              <w:t>量整改24小时内采取临时措施，3日内制定永久措施，不能</w:t>
            </w:r>
            <w:r>
              <w:rPr>
                <w:rFonts w:hint="eastAsia"/>
              </w:rPr>
              <w:t>按期完成整改。</w:t>
            </w:r>
          </w:p>
        </w:tc>
        <w:tc>
          <w:tcPr>
            <w:tcW w:w="4677" w:type="dxa"/>
            <w:vAlign w:val="center"/>
          </w:tcPr>
          <w:p>
            <w:pPr>
              <w:pStyle w:val="11"/>
              <w:numPr>
                <w:ilvl w:val="0"/>
                <w:numId w:val="6"/>
              </w:numPr>
              <w:ind w:firstLineChars="0"/>
              <w:rPr>
                <w:rFonts w:asciiTheme="minorEastAsia" w:hAnsiTheme="minorEastAsia"/>
              </w:rPr>
            </w:pPr>
            <w:r>
              <w:rPr>
                <w:rFonts w:hint="eastAsia" w:asciiTheme="minorEastAsia" w:hAnsiTheme="minorEastAsia"/>
              </w:rPr>
              <w:t>可以暂停装用或停止供货</w:t>
            </w:r>
          </w:p>
          <w:p>
            <w:pPr>
              <w:pStyle w:val="11"/>
              <w:numPr>
                <w:ilvl w:val="0"/>
                <w:numId w:val="6"/>
              </w:numPr>
              <w:ind w:firstLineChars="0"/>
              <w:rPr>
                <w:rFonts w:asciiTheme="minorEastAsia" w:hAnsiTheme="minorEastAsia"/>
              </w:rPr>
            </w:pPr>
            <w:r>
              <w:rPr>
                <w:rFonts w:hint="eastAsia" w:asciiTheme="minorEastAsia" w:hAnsiTheme="minorEastAsia"/>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jc w:val="center"/>
        </w:trPr>
        <w:tc>
          <w:tcPr>
            <w:tcW w:w="766" w:type="dxa"/>
            <w:vAlign w:val="center"/>
          </w:tcPr>
          <w:p>
            <w:pPr>
              <w:rPr>
                <w:rFonts w:asciiTheme="minorEastAsia" w:hAnsiTheme="minorEastAsia"/>
              </w:rPr>
            </w:pPr>
            <w:r>
              <w:rPr>
                <w:rFonts w:hint="eastAsia" w:asciiTheme="minorEastAsia" w:hAnsiTheme="minorEastAsia"/>
              </w:rPr>
              <w:t>1.9</w:t>
            </w:r>
          </w:p>
        </w:tc>
        <w:tc>
          <w:tcPr>
            <w:tcW w:w="1135" w:type="dxa"/>
            <w:vMerge w:val="continue"/>
            <w:vAlign w:val="center"/>
          </w:tcPr>
          <w:p/>
        </w:tc>
        <w:tc>
          <w:tcPr>
            <w:tcW w:w="4111" w:type="dxa"/>
            <w:vAlign w:val="center"/>
          </w:tcPr>
          <w:p>
            <w:r>
              <w:rPr>
                <w:rFonts w:hint="eastAsia"/>
              </w:rPr>
              <w:t>同类问题整改验收后半年内重复发生。</w:t>
            </w:r>
          </w:p>
        </w:tc>
        <w:tc>
          <w:tcPr>
            <w:tcW w:w="4677" w:type="dxa"/>
            <w:vAlign w:val="center"/>
          </w:tcPr>
          <w:p>
            <w:pPr>
              <w:pStyle w:val="11"/>
              <w:numPr>
                <w:ilvl w:val="0"/>
                <w:numId w:val="7"/>
              </w:numPr>
              <w:ind w:firstLineChars="0"/>
              <w:rPr>
                <w:rFonts w:asciiTheme="minorEastAsia" w:hAnsiTheme="minorEastAsia"/>
              </w:rPr>
            </w:pPr>
            <w:r>
              <w:rPr>
                <w:rFonts w:hint="eastAsia" w:asciiTheme="minorEastAsia" w:hAnsiTheme="minorEastAsia"/>
              </w:rPr>
              <w:t>可以停止供货</w:t>
            </w:r>
          </w:p>
          <w:p>
            <w:pPr>
              <w:pStyle w:val="11"/>
              <w:numPr>
                <w:ilvl w:val="0"/>
                <w:numId w:val="7"/>
              </w:numPr>
              <w:ind w:firstLineChars="0"/>
              <w:rPr>
                <w:rFonts w:asciiTheme="minorEastAsia" w:hAnsiTheme="minorEastAsia"/>
              </w:rPr>
            </w:pPr>
            <w:r>
              <w:rPr>
                <w:rFonts w:hint="eastAsia" w:asciiTheme="minorEastAsia" w:hAnsiTheme="minorEastAsia"/>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766" w:type="dxa"/>
            <w:vAlign w:val="center"/>
          </w:tcPr>
          <w:p>
            <w:pPr>
              <w:rPr>
                <w:rFonts w:asciiTheme="minorEastAsia" w:hAnsiTheme="minorEastAsia"/>
              </w:rPr>
            </w:pPr>
            <w:r>
              <w:rPr>
                <w:rFonts w:hint="eastAsia" w:asciiTheme="minorEastAsia" w:hAnsiTheme="minorEastAsia"/>
              </w:rPr>
              <w:t>1.10</w:t>
            </w:r>
          </w:p>
        </w:tc>
        <w:tc>
          <w:tcPr>
            <w:tcW w:w="1135" w:type="dxa"/>
            <w:vMerge w:val="restart"/>
            <w:vAlign w:val="center"/>
          </w:tcPr>
          <w:p>
            <w:r>
              <w:rPr>
                <w:rFonts w:hint="eastAsia"/>
              </w:rPr>
              <w:t>响应速度</w:t>
            </w:r>
          </w:p>
        </w:tc>
        <w:tc>
          <w:tcPr>
            <w:tcW w:w="4111" w:type="dxa"/>
            <w:vAlign w:val="center"/>
          </w:tcPr>
          <w:p>
            <w:r>
              <w:rPr>
                <w:rFonts w:hint="eastAsia"/>
              </w:rPr>
              <w:t>零部件出现质量问题，要求到甲方现场确认，而没有及时到现场。</w:t>
            </w:r>
          </w:p>
        </w:tc>
        <w:tc>
          <w:tcPr>
            <w:tcW w:w="4677" w:type="dxa"/>
            <w:vMerge w:val="restart"/>
            <w:vAlign w:val="center"/>
          </w:tcPr>
          <w:p>
            <w:pPr>
              <w:pStyle w:val="11"/>
              <w:numPr>
                <w:ilvl w:val="0"/>
                <w:numId w:val="8"/>
              </w:numPr>
              <w:ind w:firstLineChars="0"/>
              <w:rPr>
                <w:rFonts w:asciiTheme="minorEastAsia" w:hAnsiTheme="minorEastAsia"/>
              </w:rPr>
            </w:pPr>
            <w:r>
              <w:rPr>
                <w:rFonts w:hint="eastAsia" w:asciiTheme="minorEastAsia" w:hAnsiTheme="minorEastAsia"/>
              </w:rPr>
              <w:t>可以考核3仟元至1万元</w:t>
            </w:r>
          </w:p>
          <w:p>
            <w:pPr>
              <w:pStyle w:val="11"/>
              <w:numPr>
                <w:ilvl w:val="0"/>
                <w:numId w:val="8"/>
              </w:numPr>
              <w:ind w:firstLineChars="0"/>
              <w:rPr>
                <w:rFonts w:asciiTheme="minorEastAsia" w:hAnsiTheme="minorEastAsia"/>
              </w:rPr>
            </w:pPr>
            <w:r>
              <w:rPr>
                <w:rFonts w:hint="eastAsia" w:asciiTheme="minorEastAsia" w:hAnsiTheme="minorEastAsia"/>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766" w:type="dxa"/>
            <w:vAlign w:val="center"/>
          </w:tcPr>
          <w:p>
            <w:pPr>
              <w:rPr>
                <w:rFonts w:asciiTheme="minorEastAsia" w:hAnsiTheme="minorEastAsia"/>
              </w:rPr>
            </w:pPr>
            <w:r>
              <w:rPr>
                <w:rFonts w:hint="eastAsia" w:asciiTheme="minorEastAsia" w:hAnsiTheme="minorEastAsia"/>
              </w:rPr>
              <w:t>1.11</w:t>
            </w:r>
          </w:p>
        </w:tc>
        <w:tc>
          <w:tcPr>
            <w:tcW w:w="1135" w:type="dxa"/>
            <w:vMerge w:val="continue"/>
            <w:vAlign w:val="center"/>
          </w:tcPr>
          <w:p/>
        </w:tc>
        <w:tc>
          <w:tcPr>
            <w:tcW w:w="4111" w:type="dxa"/>
            <w:vAlign w:val="center"/>
          </w:tcPr>
          <w:p>
            <w:r>
              <w:rPr>
                <w:rFonts w:hint="eastAsia"/>
              </w:rPr>
              <w:t>供应商现场服务不配合质量问题处理，不良品返修、周转不及时。</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jc w:val="center"/>
        </w:trPr>
        <w:tc>
          <w:tcPr>
            <w:tcW w:w="766" w:type="dxa"/>
            <w:vAlign w:val="center"/>
          </w:tcPr>
          <w:p>
            <w:pPr>
              <w:rPr>
                <w:rFonts w:asciiTheme="minorEastAsia" w:hAnsiTheme="minorEastAsia"/>
              </w:rPr>
            </w:pPr>
            <w:r>
              <w:rPr>
                <w:rFonts w:hint="eastAsia" w:asciiTheme="minorEastAsia" w:hAnsiTheme="minorEastAsia"/>
              </w:rPr>
              <w:t>1.12</w:t>
            </w:r>
          </w:p>
        </w:tc>
        <w:tc>
          <w:tcPr>
            <w:tcW w:w="1135" w:type="dxa"/>
            <w:vMerge w:val="continue"/>
            <w:vAlign w:val="center"/>
          </w:tcPr>
          <w:p/>
        </w:tc>
        <w:tc>
          <w:tcPr>
            <w:tcW w:w="4111" w:type="dxa"/>
            <w:vAlign w:val="center"/>
          </w:tcPr>
          <w:p>
            <w:r>
              <w:rPr>
                <w:rFonts w:hint="eastAsia"/>
              </w:rPr>
              <w:t>甲方邀请参加的质量会议、专题汇报会议，供应商未按时参加。</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jc w:val="center"/>
        </w:trPr>
        <w:tc>
          <w:tcPr>
            <w:tcW w:w="766" w:type="dxa"/>
            <w:vAlign w:val="center"/>
          </w:tcPr>
          <w:p>
            <w:pPr>
              <w:rPr>
                <w:rFonts w:asciiTheme="minorEastAsia" w:hAnsiTheme="minorEastAsia"/>
              </w:rPr>
            </w:pPr>
            <w:r>
              <w:rPr>
                <w:rFonts w:hint="eastAsia" w:asciiTheme="minorEastAsia" w:hAnsiTheme="minorEastAsia"/>
              </w:rPr>
              <w:t>1.13</w:t>
            </w:r>
          </w:p>
        </w:tc>
        <w:tc>
          <w:tcPr>
            <w:tcW w:w="1135" w:type="dxa"/>
            <w:vAlign w:val="center"/>
          </w:tcPr>
          <w:p>
            <w:r>
              <w:rPr>
                <w:rFonts w:hint="eastAsia"/>
              </w:rPr>
              <w:t>4M变更</w:t>
            </w:r>
          </w:p>
        </w:tc>
        <w:tc>
          <w:tcPr>
            <w:tcW w:w="4111" w:type="dxa"/>
            <w:vAlign w:val="center"/>
          </w:tcPr>
          <w:p>
            <w:r>
              <w:rPr>
                <w:rFonts w:hint="eastAsia"/>
              </w:rPr>
              <w:t>供应商未经甲方许可，私自更改零部件设计、材料、结构、生产工艺、生产场地或二级配套商，造成甲方生产或主机厂整车严重后果。</w:t>
            </w:r>
          </w:p>
        </w:tc>
        <w:tc>
          <w:tcPr>
            <w:tcW w:w="4677" w:type="dxa"/>
            <w:vAlign w:val="center"/>
          </w:tcPr>
          <w:p>
            <w:pPr>
              <w:pStyle w:val="11"/>
              <w:numPr>
                <w:ilvl w:val="0"/>
                <w:numId w:val="9"/>
              </w:numPr>
              <w:ind w:firstLineChars="0"/>
              <w:rPr>
                <w:rFonts w:asciiTheme="minorEastAsia" w:hAnsiTheme="minorEastAsia"/>
              </w:rPr>
            </w:pPr>
            <w:r>
              <w:rPr>
                <w:rFonts w:hint="eastAsia" w:asciiTheme="minorEastAsia" w:hAnsiTheme="minorEastAsia"/>
              </w:rPr>
              <w:t>关键件考核20万/次</w:t>
            </w:r>
          </w:p>
          <w:p>
            <w:pPr>
              <w:pStyle w:val="11"/>
              <w:numPr>
                <w:ilvl w:val="0"/>
                <w:numId w:val="9"/>
              </w:numPr>
              <w:ind w:firstLineChars="0"/>
              <w:rPr>
                <w:rFonts w:asciiTheme="minorEastAsia" w:hAnsiTheme="minorEastAsia"/>
              </w:rPr>
            </w:pPr>
            <w:r>
              <w:rPr>
                <w:rFonts w:hint="eastAsia" w:asciiTheme="minorEastAsia" w:hAnsiTheme="minorEastAsia"/>
              </w:rPr>
              <w:t>重要件或一般件考核5万/次</w:t>
            </w:r>
          </w:p>
          <w:p>
            <w:pPr>
              <w:pStyle w:val="11"/>
              <w:numPr>
                <w:ilvl w:val="0"/>
                <w:numId w:val="9"/>
              </w:numPr>
              <w:ind w:firstLineChars="0"/>
              <w:rPr>
                <w:rFonts w:asciiTheme="minorEastAsia" w:hAnsiTheme="minorEastAsia"/>
              </w:rPr>
            </w:pPr>
            <w:r>
              <w:rPr>
                <w:rFonts w:hint="eastAsia" w:asciiTheme="minorEastAsia" w:hAnsiTheme="minorEastAsia"/>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jc w:val="center"/>
        </w:trPr>
        <w:tc>
          <w:tcPr>
            <w:tcW w:w="766" w:type="dxa"/>
            <w:vAlign w:val="center"/>
          </w:tcPr>
          <w:p>
            <w:pPr>
              <w:rPr>
                <w:rFonts w:asciiTheme="minorEastAsia" w:hAnsiTheme="minorEastAsia"/>
              </w:rPr>
            </w:pPr>
            <w:r>
              <w:rPr>
                <w:rFonts w:hint="eastAsia" w:asciiTheme="minorEastAsia" w:hAnsiTheme="minorEastAsia"/>
              </w:rPr>
              <w:t>1.14</w:t>
            </w:r>
          </w:p>
        </w:tc>
        <w:tc>
          <w:tcPr>
            <w:tcW w:w="1135" w:type="dxa"/>
            <w:vAlign w:val="center"/>
          </w:tcPr>
          <w:p>
            <w:r>
              <w:rPr>
                <w:rFonts w:hint="eastAsia"/>
              </w:rPr>
              <w:t>定期试验</w:t>
            </w:r>
          </w:p>
        </w:tc>
        <w:tc>
          <w:tcPr>
            <w:tcW w:w="4111" w:type="dxa"/>
            <w:vAlign w:val="center"/>
          </w:tcPr>
          <w:p>
            <w:r>
              <w:rPr>
                <w:rFonts w:hint="eastAsia"/>
              </w:rPr>
              <w:t>试验未按要求进行，试验结果不合格，未按要求提供试验报告，未按要求提供试验样件。</w:t>
            </w:r>
          </w:p>
        </w:tc>
        <w:tc>
          <w:tcPr>
            <w:tcW w:w="4677" w:type="dxa"/>
            <w:vAlign w:val="center"/>
          </w:tcPr>
          <w:p>
            <w:pPr>
              <w:pStyle w:val="11"/>
              <w:numPr>
                <w:ilvl w:val="0"/>
                <w:numId w:val="10"/>
              </w:numPr>
              <w:ind w:firstLineChars="0"/>
              <w:rPr>
                <w:rFonts w:asciiTheme="minorEastAsia" w:hAnsiTheme="minorEastAsia"/>
              </w:rPr>
            </w:pPr>
            <w:r>
              <w:rPr>
                <w:rFonts w:hint="eastAsia" w:asciiTheme="minorEastAsia" w:hAnsiTheme="minorEastAsia"/>
              </w:rPr>
              <w:t>关键件考核3万/次</w:t>
            </w:r>
          </w:p>
          <w:p>
            <w:pPr>
              <w:pStyle w:val="11"/>
              <w:numPr>
                <w:ilvl w:val="0"/>
                <w:numId w:val="10"/>
              </w:numPr>
              <w:ind w:firstLineChars="0"/>
              <w:rPr>
                <w:rFonts w:asciiTheme="minorEastAsia" w:hAnsiTheme="minorEastAsia"/>
              </w:rPr>
            </w:pPr>
            <w:r>
              <w:rPr>
                <w:rFonts w:hint="eastAsia" w:asciiTheme="minorEastAsia" w:hAnsiTheme="minorEastAsia"/>
              </w:rPr>
              <w:t>重要件考核2万/次</w:t>
            </w:r>
          </w:p>
          <w:p>
            <w:pPr>
              <w:pStyle w:val="11"/>
              <w:numPr>
                <w:ilvl w:val="0"/>
                <w:numId w:val="10"/>
              </w:numPr>
              <w:ind w:firstLineChars="0"/>
              <w:rPr>
                <w:rFonts w:asciiTheme="minorEastAsia" w:hAnsiTheme="minorEastAsia"/>
              </w:rPr>
            </w:pPr>
            <w:r>
              <w:rPr>
                <w:rFonts w:hint="eastAsia" w:asciiTheme="minorEastAsia" w:hAnsiTheme="minorEastAsia"/>
              </w:rPr>
              <w:t>一般件考核1万/次</w:t>
            </w:r>
          </w:p>
        </w:tc>
      </w:tr>
    </w:tbl>
    <w:p>
      <w:pPr>
        <w:jc w:val="center"/>
        <w:rPr>
          <w:b/>
          <w:sz w:val="24"/>
        </w:rPr>
      </w:pPr>
    </w:p>
    <w:tbl>
      <w:tblPr>
        <w:tblStyle w:val="6"/>
        <w:tblW w:w="10632"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rPr>
            </w:pPr>
            <w:r>
              <w:rPr>
                <w:rFonts w:hint="eastAsia" w:asciiTheme="minorEastAsia" w:hAnsiTheme="minorEastAsia"/>
              </w:rPr>
              <w:t>1.15</w:t>
            </w:r>
          </w:p>
        </w:tc>
        <w:tc>
          <w:tcPr>
            <w:tcW w:w="1136" w:type="dxa"/>
            <w:vMerge w:val="restart"/>
            <w:vAlign w:val="center"/>
          </w:tcPr>
          <w:p>
            <w:pPr>
              <w:jc w:val="center"/>
            </w:pPr>
            <w:r>
              <w:rPr>
                <w:rFonts w:hint="eastAsia"/>
              </w:rPr>
              <w:t>PPM</w:t>
            </w:r>
          </w:p>
        </w:tc>
        <w:tc>
          <w:tcPr>
            <w:tcW w:w="4110" w:type="dxa"/>
            <w:vAlign w:val="center"/>
          </w:tcPr>
          <w:p>
            <w:r>
              <w:rPr>
                <w:rFonts w:hint="eastAsia"/>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rPr>
            </w:pPr>
            <w:r>
              <w:rPr>
                <w:rFonts w:hint="eastAsia" w:asciiTheme="minorEastAsia" w:hAnsiTheme="minorEastAsia"/>
              </w:rPr>
              <w:t>超标≤10%，不考核</w:t>
            </w:r>
          </w:p>
          <w:p>
            <w:pPr>
              <w:pStyle w:val="11"/>
              <w:numPr>
                <w:ilvl w:val="0"/>
                <w:numId w:val="11"/>
              </w:numPr>
              <w:ind w:firstLineChars="0"/>
              <w:rPr>
                <w:rFonts w:asciiTheme="minorEastAsia" w:hAnsiTheme="minorEastAsia"/>
              </w:rPr>
            </w:pPr>
            <w:r>
              <w:rPr>
                <w:rFonts w:hint="eastAsia" w:asciiTheme="minorEastAsia" w:hAnsiTheme="minorEastAsia"/>
              </w:rPr>
              <w:t>10%＜超标≤50% 考核500元</w:t>
            </w:r>
          </w:p>
          <w:p>
            <w:pPr>
              <w:pStyle w:val="11"/>
              <w:numPr>
                <w:ilvl w:val="0"/>
                <w:numId w:val="11"/>
              </w:numPr>
              <w:ind w:firstLineChars="0"/>
              <w:rPr>
                <w:rFonts w:asciiTheme="minorEastAsia" w:hAnsiTheme="minorEastAsia"/>
              </w:rPr>
            </w:pPr>
            <w:r>
              <w:rPr>
                <w:rFonts w:hint="eastAsia" w:asciiTheme="minorEastAsia" w:hAnsiTheme="minorEastAsia"/>
              </w:rPr>
              <w:t>50%＜超标≤100% 考核1仟元</w:t>
            </w:r>
          </w:p>
          <w:p>
            <w:pPr>
              <w:pStyle w:val="11"/>
              <w:numPr>
                <w:ilvl w:val="0"/>
                <w:numId w:val="11"/>
              </w:numPr>
              <w:ind w:firstLineChars="0"/>
              <w:rPr>
                <w:rFonts w:asciiTheme="minorEastAsia" w:hAnsiTheme="minorEastAsia"/>
              </w:rPr>
            </w:pPr>
            <w:r>
              <w:rPr>
                <w:rFonts w:hint="eastAsia" w:asciiTheme="minorEastAsia" w:hAnsiTheme="minorEastAsia"/>
              </w:rPr>
              <w:t>100%＜超标≤200% 考核3仟元</w:t>
            </w:r>
          </w:p>
          <w:p>
            <w:pPr>
              <w:pStyle w:val="11"/>
              <w:numPr>
                <w:ilvl w:val="0"/>
                <w:numId w:val="11"/>
              </w:numPr>
              <w:ind w:firstLineChars="0"/>
              <w:rPr>
                <w:rFonts w:asciiTheme="minorEastAsia" w:hAnsiTheme="minorEastAsia"/>
              </w:rPr>
            </w:pPr>
            <w:r>
              <w:rPr>
                <w:rFonts w:hint="eastAsia" w:asciiTheme="minorEastAsia" w:hAnsiTheme="minorEastAsia"/>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rPr>
            </w:pPr>
            <w:r>
              <w:rPr>
                <w:rFonts w:hint="eastAsia" w:asciiTheme="minorEastAsia" w:hAnsiTheme="minorEastAsia"/>
              </w:rPr>
              <w:t>1.16</w:t>
            </w:r>
          </w:p>
        </w:tc>
        <w:tc>
          <w:tcPr>
            <w:tcW w:w="1136" w:type="dxa"/>
            <w:vMerge w:val="continue"/>
            <w:vAlign w:val="center"/>
          </w:tcPr>
          <w:p/>
        </w:tc>
        <w:tc>
          <w:tcPr>
            <w:tcW w:w="4110" w:type="dxa"/>
            <w:tcBorders>
              <w:right w:val="single" w:color="auto" w:sz="4" w:space="0"/>
            </w:tcBorders>
            <w:vAlign w:val="center"/>
          </w:tcPr>
          <w:p>
            <w:r>
              <w:rPr>
                <w:rFonts w:hint="eastAsia"/>
              </w:rPr>
              <w:t>因供应商零部件质量问题造成主机厂PPM值超标。</w:t>
            </w:r>
          </w:p>
        </w:tc>
        <w:tc>
          <w:tcPr>
            <w:tcW w:w="4678" w:type="dxa"/>
            <w:tcBorders>
              <w:left w:val="single" w:color="auto" w:sz="4" w:space="0"/>
            </w:tcBorders>
            <w:vAlign w:val="center"/>
          </w:tcPr>
          <w:p>
            <w:pPr>
              <w:rPr>
                <w:rFonts w:asciiTheme="minorEastAsia" w:hAnsiTheme="minorEastAsia"/>
              </w:rPr>
            </w:pPr>
            <w:r>
              <w:rPr>
                <w:rFonts w:hint="eastAsia" w:asciiTheme="minorEastAsia" w:hAnsiTheme="minorEastAsia"/>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rPr>
            </w:pPr>
            <w:r>
              <w:rPr>
                <w:rFonts w:hint="eastAsia" w:asciiTheme="minorEastAsia" w:hAnsiTheme="minorEastAsia"/>
              </w:rPr>
              <w:t>1</w:t>
            </w:r>
            <w:r>
              <w:rPr>
                <w:rFonts w:asciiTheme="minorEastAsia" w:hAnsiTheme="minorEastAsia"/>
              </w:rPr>
              <w:t>.17</w:t>
            </w:r>
          </w:p>
        </w:tc>
        <w:tc>
          <w:tcPr>
            <w:tcW w:w="1136" w:type="dxa"/>
            <w:vAlign w:val="center"/>
          </w:tcPr>
          <w:p>
            <w:pPr>
              <w:rPr>
                <w:rFonts w:asciiTheme="minorEastAsia" w:hAnsiTheme="minorEastAsia"/>
                <w:b/>
                <w:highlight w:val="yellow"/>
              </w:rPr>
            </w:pPr>
            <w:r>
              <w:rPr>
                <w:rFonts w:hint="eastAsia" w:asciiTheme="minorEastAsia" w:hAnsiTheme="minorEastAsia"/>
                <w:b/>
                <w:highlight w:val="yellow"/>
              </w:rPr>
              <w:t>市场三包</w:t>
            </w:r>
          </w:p>
        </w:tc>
        <w:tc>
          <w:tcPr>
            <w:tcW w:w="8788" w:type="dxa"/>
            <w:gridSpan w:val="2"/>
            <w:vAlign w:val="center"/>
          </w:tcPr>
          <w:p>
            <w:pPr>
              <w:rPr>
                <w:rFonts w:asciiTheme="minorEastAsia" w:hAnsiTheme="minorEastAsia"/>
                <w:b/>
                <w:highlight w:val="yellow"/>
              </w:rPr>
            </w:pPr>
            <w:r>
              <w:rPr>
                <w:rFonts w:hint="eastAsia"/>
                <w:szCs w:val="21"/>
                <w:highlight w:val="yellow"/>
              </w:rPr>
              <w:t>自终端客户车辆销售日起18个月内，因乙方零部件问题造成的市场三包，更换零部件及产品总成，</w:t>
            </w:r>
            <w:r>
              <w:rPr>
                <w:rFonts w:hint="eastAsia" w:asciiTheme="minorEastAsia" w:hAnsiTheme="minorEastAsia"/>
                <w:highlight w:val="yellow"/>
              </w:rPr>
              <w:t>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rPr>
            </w:pPr>
            <w:r>
              <w:rPr>
                <w:rFonts w:hint="eastAsia" w:asciiTheme="minorEastAsia" w:hAnsiTheme="minorEastAsia"/>
                <w:b/>
              </w:rPr>
              <w:t>2</w:t>
            </w:r>
          </w:p>
        </w:tc>
        <w:tc>
          <w:tcPr>
            <w:tcW w:w="9924" w:type="dxa"/>
            <w:gridSpan w:val="3"/>
            <w:vAlign w:val="center"/>
          </w:tcPr>
          <w:p>
            <w:pPr>
              <w:rPr>
                <w:rFonts w:asciiTheme="minorEastAsia" w:hAnsiTheme="minorEastAsia"/>
                <w:b/>
              </w:rPr>
            </w:pPr>
            <w:r>
              <w:rPr>
                <w:rFonts w:hint="eastAsia" w:asciiTheme="minorEastAsia" w:hAnsiTheme="minorEastAsia"/>
                <w:b/>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2.1</w:t>
            </w:r>
          </w:p>
        </w:tc>
        <w:tc>
          <w:tcPr>
            <w:tcW w:w="1136" w:type="dxa"/>
            <w:vMerge w:val="restart"/>
            <w:vAlign w:val="center"/>
          </w:tcPr>
          <w:p>
            <w:pPr>
              <w:jc w:val="center"/>
              <w:rPr>
                <w:rFonts w:asciiTheme="minorEastAsia" w:hAnsiTheme="minorEastAsia"/>
              </w:rPr>
            </w:pPr>
            <w:r>
              <w:rPr>
                <w:rFonts w:hint="eastAsia" w:asciiTheme="minorEastAsia" w:hAnsiTheme="minorEastAsia"/>
              </w:rPr>
              <w:t>3C</w:t>
            </w:r>
          </w:p>
          <w:p>
            <w:pPr>
              <w:jc w:val="center"/>
              <w:rPr>
                <w:rFonts w:asciiTheme="minorEastAsia" w:hAnsiTheme="minorEastAsia"/>
              </w:rPr>
            </w:pPr>
            <w:r>
              <w:rPr>
                <w:rFonts w:hint="eastAsia" w:asciiTheme="minorEastAsia" w:hAnsiTheme="minorEastAsia"/>
              </w:rPr>
              <w:t>管理</w:t>
            </w:r>
          </w:p>
        </w:tc>
        <w:tc>
          <w:tcPr>
            <w:tcW w:w="4110" w:type="dxa"/>
            <w:vAlign w:val="center"/>
          </w:tcPr>
          <w:p>
            <w:r>
              <w:rPr>
                <w:rFonts w:hint="eastAsia"/>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rPr>
            </w:pPr>
            <w:r>
              <w:rPr>
                <w:rFonts w:hint="eastAsia" w:asciiTheme="minorEastAsia" w:hAnsiTheme="minorEastAsia"/>
              </w:rPr>
              <w:t>考核2万元/次</w:t>
            </w:r>
          </w:p>
          <w:p>
            <w:pPr>
              <w:pStyle w:val="11"/>
              <w:numPr>
                <w:ilvl w:val="0"/>
                <w:numId w:val="12"/>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rPr>
            </w:pPr>
            <w:r>
              <w:rPr>
                <w:rFonts w:hint="eastAsia" w:asciiTheme="minorEastAsia" w:hAnsiTheme="minorEastAsia"/>
              </w:rPr>
              <w:t>2.2</w:t>
            </w:r>
          </w:p>
        </w:tc>
        <w:tc>
          <w:tcPr>
            <w:tcW w:w="1136" w:type="dxa"/>
            <w:vMerge w:val="continue"/>
            <w:vAlign w:val="center"/>
          </w:tcPr>
          <w:p/>
        </w:tc>
        <w:tc>
          <w:tcPr>
            <w:tcW w:w="4110" w:type="dxa"/>
            <w:vAlign w:val="center"/>
          </w:tcPr>
          <w:p>
            <w:r>
              <w:rPr>
                <w:rFonts w:hint="eastAsia"/>
              </w:rPr>
              <w:t>3C件、环保法规件认证文件到期未及时更新。</w:t>
            </w:r>
          </w:p>
        </w:tc>
        <w:tc>
          <w:tcPr>
            <w:tcW w:w="4678" w:type="dxa"/>
            <w:vAlign w:val="center"/>
          </w:tcPr>
          <w:p>
            <w:pPr>
              <w:pStyle w:val="11"/>
              <w:numPr>
                <w:ilvl w:val="0"/>
                <w:numId w:val="13"/>
              </w:numPr>
              <w:ind w:firstLineChars="0"/>
              <w:rPr>
                <w:rFonts w:asciiTheme="minorEastAsia" w:hAnsiTheme="minorEastAsia"/>
              </w:rPr>
            </w:pPr>
            <w:r>
              <w:rPr>
                <w:rFonts w:hint="eastAsia" w:asciiTheme="minorEastAsia" w:hAnsiTheme="minorEastAsia"/>
              </w:rPr>
              <w:t>考核1万元/次</w:t>
            </w:r>
          </w:p>
          <w:p>
            <w:pPr>
              <w:pStyle w:val="11"/>
              <w:numPr>
                <w:ilvl w:val="0"/>
                <w:numId w:val="13"/>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rPr>
            </w:pPr>
            <w:r>
              <w:rPr>
                <w:rFonts w:hint="eastAsia" w:asciiTheme="minorEastAsia" w:hAnsiTheme="minorEastAsia"/>
              </w:rPr>
              <w:t>2.3</w:t>
            </w:r>
          </w:p>
        </w:tc>
        <w:tc>
          <w:tcPr>
            <w:tcW w:w="1136" w:type="dxa"/>
            <w:vMerge w:val="restart"/>
            <w:vAlign w:val="center"/>
          </w:tcPr>
          <w:p>
            <w:pPr>
              <w:jc w:val="center"/>
              <w:rPr>
                <w:rFonts w:asciiTheme="minorEastAsia" w:hAnsiTheme="minorEastAsia"/>
              </w:rPr>
            </w:pPr>
            <w:r>
              <w:rPr>
                <w:rFonts w:hint="eastAsia" w:asciiTheme="minorEastAsia" w:hAnsiTheme="minorEastAsia"/>
              </w:rPr>
              <w:t>PPAP管理</w:t>
            </w:r>
          </w:p>
        </w:tc>
        <w:tc>
          <w:tcPr>
            <w:tcW w:w="4110" w:type="dxa"/>
            <w:vAlign w:val="center"/>
          </w:tcPr>
          <w:p>
            <w:r>
              <w:rPr>
                <w:rFonts w:hint="eastAsia" w:asciiTheme="minorEastAsia" w:hAnsiTheme="minorEastAsia"/>
              </w:rPr>
              <w:t>PPAP</w:t>
            </w:r>
            <w:r>
              <w:rPr>
                <w:rFonts w:hint="eastAsia"/>
              </w:rPr>
              <w:t>提交虚假报告，与现场严重不符。</w:t>
            </w:r>
          </w:p>
        </w:tc>
        <w:tc>
          <w:tcPr>
            <w:tcW w:w="4678" w:type="dxa"/>
            <w:vAlign w:val="center"/>
          </w:tcPr>
          <w:p>
            <w:pPr>
              <w:pStyle w:val="11"/>
              <w:numPr>
                <w:ilvl w:val="0"/>
                <w:numId w:val="14"/>
              </w:numPr>
              <w:ind w:firstLineChars="0"/>
              <w:rPr>
                <w:rFonts w:asciiTheme="minorEastAsia" w:hAnsiTheme="minorEastAsia"/>
              </w:rPr>
            </w:pPr>
            <w:r>
              <w:rPr>
                <w:rFonts w:hint="eastAsia" w:asciiTheme="minorEastAsia" w:hAnsiTheme="minorEastAsia"/>
              </w:rPr>
              <w:t>考核5万元/次</w:t>
            </w:r>
          </w:p>
          <w:p>
            <w:pPr>
              <w:pStyle w:val="11"/>
              <w:numPr>
                <w:ilvl w:val="0"/>
                <w:numId w:val="14"/>
              </w:numPr>
              <w:ind w:firstLineChars="0"/>
              <w:rPr>
                <w:rFonts w:asciiTheme="minorEastAsia" w:hAnsiTheme="minorEastAsia"/>
              </w:rPr>
            </w:pPr>
            <w:r>
              <w:rPr>
                <w:rFonts w:hint="eastAsia" w:asciiTheme="minorEastAsia" w:hAnsiTheme="minorEastAsia"/>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rPr>
            </w:pPr>
            <w:r>
              <w:rPr>
                <w:rFonts w:hint="eastAsia" w:asciiTheme="minorEastAsia" w:hAnsiTheme="minorEastAsia"/>
              </w:rPr>
              <w:t>2.4</w:t>
            </w:r>
          </w:p>
        </w:tc>
        <w:tc>
          <w:tcPr>
            <w:tcW w:w="1136" w:type="dxa"/>
            <w:vMerge w:val="continue"/>
            <w:vAlign w:val="center"/>
          </w:tcPr>
          <w:p/>
        </w:tc>
        <w:tc>
          <w:tcPr>
            <w:tcW w:w="4110" w:type="dxa"/>
            <w:vAlign w:val="center"/>
          </w:tcPr>
          <w:p>
            <w:pPr>
              <w:rPr>
                <w:rFonts w:asciiTheme="minorEastAsia" w:hAnsiTheme="minorEastAsia"/>
              </w:rPr>
            </w:pPr>
            <w:r>
              <w:rPr>
                <w:rFonts w:hint="eastAsia" w:asciiTheme="minorEastAsia" w:hAnsiTheme="minorEastAsia"/>
              </w:rPr>
              <w:t>PPAP未按要求提交，影响批量生产。</w:t>
            </w:r>
          </w:p>
        </w:tc>
        <w:tc>
          <w:tcPr>
            <w:tcW w:w="4678" w:type="dxa"/>
            <w:vAlign w:val="center"/>
          </w:tcPr>
          <w:p>
            <w:pPr>
              <w:pStyle w:val="11"/>
              <w:numPr>
                <w:ilvl w:val="0"/>
                <w:numId w:val="15"/>
              </w:numPr>
              <w:ind w:firstLineChars="0"/>
              <w:rPr>
                <w:rFonts w:asciiTheme="minorEastAsia" w:hAnsiTheme="minorEastAsia"/>
              </w:rPr>
            </w:pPr>
            <w:r>
              <w:rPr>
                <w:rFonts w:hint="eastAsia" w:asciiTheme="minorEastAsia" w:hAnsiTheme="minorEastAsia"/>
              </w:rPr>
              <w:t>考核3万元/次</w:t>
            </w:r>
          </w:p>
          <w:p>
            <w:pPr>
              <w:pStyle w:val="11"/>
              <w:numPr>
                <w:ilvl w:val="0"/>
                <w:numId w:val="15"/>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2.5</w:t>
            </w:r>
          </w:p>
        </w:tc>
        <w:tc>
          <w:tcPr>
            <w:tcW w:w="1136" w:type="dxa"/>
            <w:vMerge w:val="continue"/>
            <w:vAlign w:val="center"/>
          </w:tcPr>
          <w:p/>
        </w:tc>
        <w:tc>
          <w:tcPr>
            <w:tcW w:w="4110" w:type="dxa"/>
            <w:vAlign w:val="center"/>
          </w:tcPr>
          <w:p>
            <w:r>
              <w:rPr>
                <w:rFonts w:hint="eastAsia" w:asciiTheme="minorEastAsia" w:hAnsiTheme="minorEastAsia"/>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rPr>
            </w:pPr>
            <w:r>
              <w:rPr>
                <w:rFonts w:hint="eastAsia" w:asciiTheme="minorEastAsia" w:hAnsiTheme="minorEastAsia"/>
              </w:rPr>
              <w:t>考核1万元/次</w:t>
            </w:r>
          </w:p>
          <w:p>
            <w:pPr>
              <w:pStyle w:val="11"/>
              <w:numPr>
                <w:ilvl w:val="0"/>
                <w:numId w:val="16"/>
              </w:numPr>
              <w:ind w:firstLineChars="0"/>
              <w:rPr>
                <w:rFonts w:asciiTheme="minorEastAsia" w:hAnsiTheme="minorEastAsia"/>
              </w:rPr>
            </w:pPr>
            <w:r>
              <w:rPr>
                <w:rFonts w:hint="eastAsia" w:asciiTheme="minorEastAsia" w:hAnsiTheme="minorEastAsia"/>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2.6</w:t>
            </w:r>
          </w:p>
        </w:tc>
        <w:tc>
          <w:tcPr>
            <w:tcW w:w="1136" w:type="dxa"/>
            <w:vAlign w:val="center"/>
          </w:tcPr>
          <w:p>
            <w:pPr>
              <w:jc w:val="center"/>
            </w:pPr>
            <w:r>
              <w:rPr>
                <w:rFonts w:hint="eastAsia"/>
              </w:rPr>
              <w:t>体系质量审核</w:t>
            </w:r>
          </w:p>
        </w:tc>
        <w:tc>
          <w:tcPr>
            <w:tcW w:w="4110" w:type="dxa"/>
            <w:vAlign w:val="center"/>
          </w:tcPr>
          <w:p>
            <w:r>
              <w:rPr>
                <w:rFonts w:hint="eastAsia"/>
              </w:rPr>
              <w:t>供应商体系、质量审核，现场与改善措施严重不符、弄虚作假。</w:t>
            </w:r>
          </w:p>
        </w:tc>
        <w:tc>
          <w:tcPr>
            <w:tcW w:w="4678" w:type="dxa"/>
            <w:vAlign w:val="center"/>
          </w:tcPr>
          <w:p>
            <w:pPr>
              <w:pStyle w:val="11"/>
              <w:numPr>
                <w:ilvl w:val="0"/>
                <w:numId w:val="17"/>
              </w:numPr>
              <w:ind w:firstLineChars="0"/>
            </w:pPr>
            <w:r>
              <w:rPr>
                <w:rFonts w:hint="eastAsia"/>
              </w:rPr>
              <w:t>考核5仟元/次</w:t>
            </w:r>
          </w:p>
          <w:p>
            <w:pPr>
              <w:pStyle w:val="11"/>
              <w:numPr>
                <w:ilvl w:val="0"/>
                <w:numId w:val="17"/>
              </w:numPr>
              <w:ind w:firstLineChars="0"/>
            </w:pPr>
            <w:r>
              <w:rPr>
                <w:rFonts w:hint="eastAsia"/>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2.7</w:t>
            </w:r>
          </w:p>
        </w:tc>
        <w:tc>
          <w:tcPr>
            <w:tcW w:w="1136" w:type="dxa"/>
            <w:vAlign w:val="center"/>
          </w:tcPr>
          <w:p>
            <w:pPr>
              <w:jc w:val="center"/>
            </w:pPr>
            <w:r>
              <w:rPr>
                <w:rFonts w:hint="eastAsia"/>
              </w:rPr>
              <w:t>质量体系认证</w:t>
            </w:r>
          </w:p>
        </w:tc>
        <w:tc>
          <w:tcPr>
            <w:tcW w:w="4110" w:type="dxa"/>
            <w:vAlign w:val="center"/>
          </w:tcPr>
          <w:p>
            <w:r>
              <w:rPr>
                <w:rFonts w:hint="eastAsia"/>
              </w:rPr>
              <w:t>未按要求通过质量体系认证，或提供的体系证书不真实</w:t>
            </w:r>
          </w:p>
        </w:tc>
        <w:tc>
          <w:tcPr>
            <w:tcW w:w="4678" w:type="dxa"/>
            <w:vAlign w:val="center"/>
          </w:tcPr>
          <w:p>
            <w:pPr>
              <w:pStyle w:val="11"/>
              <w:numPr>
                <w:ilvl w:val="0"/>
                <w:numId w:val="18"/>
              </w:numPr>
              <w:ind w:firstLineChars="0"/>
            </w:pPr>
            <w:r>
              <w:rPr>
                <w:rFonts w:hint="eastAsia"/>
              </w:rPr>
              <w:t>考核5仟元/次</w:t>
            </w:r>
          </w:p>
          <w:p>
            <w:pPr>
              <w:pStyle w:val="11"/>
              <w:numPr>
                <w:ilvl w:val="0"/>
                <w:numId w:val="18"/>
              </w:numPr>
              <w:ind w:firstLineChars="0"/>
            </w:pPr>
            <w:r>
              <w:rPr>
                <w:rFonts w:hint="eastAsia"/>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rPr>
            </w:pPr>
            <w:r>
              <w:rPr>
                <w:rFonts w:hint="eastAsia" w:asciiTheme="minorEastAsia" w:hAnsiTheme="minorEastAsia"/>
                <w:b/>
              </w:rPr>
              <w:t>3</w:t>
            </w:r>
          </w:p>
        </w:tc>
        <w:tc>
          <w:tcPr>
            <w:tcW w:w="9924" w:type="dxa"/>
            <w:gridSpan w:val="3"/>
            <w:vAlign w:val="center"/>
          </w:tcPr>
          <w:p>
            <w:pPr>
              <w:rPr>
                <w:b/>
              </w:rPr>
            </w:pPr>
            <w:r>
              <w:rPr>
                <w:rFonts w:hint="eastAsia"/>
                <w:b/>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3.1</w:t>
            </w:r>
          </w:p>
        </w:tc>
        <w:tc>
          <w:tcPr>
            <w:tcW w:w="1136" w:type="dxa"/>
            <w:vAlign w:val="center"/>
          </w:tcPr>
          <w:p>
            <w:pPr>
              <w:jc w:val="center"/>
            </w:pPr>
            <w:r>
              <w:rPr>
                <w:rFonts w:hint="eastAsia"/>
              </w:rPr>
              <w:t>不良品管理</w:t>
            </w:r>
          </w:p>
        </w:tc>
        <w:tc>
          <w:tcPr>
            <w:tcW w:w="4110" w:type="dxa"/>
            <w:vAlign w:val="center"/>
          </w:tcPr>
          <w:p>
            <w:r>
              <w:rPr>
                <w:rFonts w:hint="eastAsia"/>
              </w:rPr>
              <w:t>因供应商物流管理缺失，将荣昌退货的不合格品再次发货。</w:t>
            </w:r>
          </w:p>
        </w:tc>
        <w:tc>
          <w:tcPr>
            <w:tcW w:w="4678" w:type="dxa"/>
            <w:vAlign w:val="center"/>
          </w:tcPr>
          <w:p>
            <w:pPr>
              <w:pStyle w:val="11"/>
              <w:numPr>
                <w:ilvl w:val="0"/>
                <w:numId w:val="19"/>
              </w:numPr>
              <w:ind w:firstLineChars="0"/>
            </w:pPr>
            <w:r>
              <w:rPr>
                <w:rFonts w:hint="eastAsia"/>
              </w:rPr>
              <w:t>考核1万元/次</w:t>
            </w:r>
          </w:p>
          <w:p>
            <w:pPr>
              <w:pStyle w:val="11"/>
              <w:numPr>
                <w:ilvl w:val="0"/>
                <w:numId w:val="19"/>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3.2</w:t>
            </w:r>
          </w:p>
        </w:tc>
        <w:tc>
          <w:tcPr>
            <w:tcW w:w="1136" w:type="dxa"/>
            <w:vAlign w:val="center"/>
          </w:tcPr>
          <w:p>
            <w:pPr>
              <w:jc w:val="center"/>
            </w:pPr>
            <w:r>
              <w:rPr>
                <w:rFonts w:hint="eastAsia"/>
              </w:rPr>
              <w:t>标识</w:t>
            </w:r>
          </w:p>
          <w:p>
            <w:pPr>
              <w:jc w:val="center"/>
            </w:pPr>
            <w:r>
              <w:rPr>
                <w:rFonts w:hint="eastAsia"/>
              </w:rPr>
              <w:t>管理</w:t>
            </w:r>
          </w:p>
        </w:tc>
        <w:tc>
          <w:tcPr>
            <w:tcW w:w="4110" w:type="dxa"/>
            <w:vAlign w:val="center"/>
          </w:tcPr>
          <w:p>
            <w:r>
              <w:rPr>
                <w:rFonts w:hint="eastAsia"/>
              </w:rPr>
              <w:t>先入先出或标识管理混乱，影响荣昌正常生产秩序。</w:t>
            </w:r>
          </w:p>
        </w:tc>
        <w:tc>
          <w:tcPr>
            <w:tcW w:w="4678" w:type="dxa"/>
            <w:vAlign w:val="center"/>
          </w:tcPr>
          <w:p>
            <w:pPr>
              <w:pStyle w:val="11"/>
              <w:numPr>
                <w:ilvl w:val="0"/>
                <w:numId w:val="20"/>
              </w:numPr>
              <w:ind w:firstLineChars="0"/>
            </w:pPr>
            <w:r>
              <w:rPr>
                <w:rFonts w:hint="eastAsia"/>
              </w:rPr>
              <w:t>考核5仟元/次</w:t>
            </w:r>
          </w:p>
          <w:p>
            <w:pPr>
              <w:pStyle w:val="11"/>
              <w:numPr>
                <w:ilvl w:val="0"/>
                <w:numId w:val="20"/>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3.3</w:t>
            </w:r>
          </w:p>
        </w:tc>
        <w:tc>
          <w:tcPr>
            <w:tcW w:w="1136" w:type="dxa"/>
            <w:vAlign w:val="center"/>
          </w:tcPr>
          <w:p>
            <w:pPr>
              <w:jc w:val="center"/>
            </w:pPr>
            <w:r>
              <w:rPr>
                <w:rFonts w:hint="eastAsia"/>
              </w:rPr>
              <w:t>包装</w:t>
            </w:r>
          </w:p>
          <w:p>
            <w:pPr>
              <w:jc w:val="center"/>
            </w:pPr>
            <w:r>
              <w:rPr>
                <w:rFonts w:hint="eastAsia"/>
              </w:rPr>
              <w:t>管理</w:t>
            </w:r>
          </w:p>
        </w:tc>
        <w:tc>
          <w:tcPr>
            <w:tcW w:w="4110" w:type="dxa"/>
            <w:vAlign w:val="center"/>
          </w:tcPr>
          <w:p>
            <w:r>
              <w:rPr>
                <w:rFonts w:hint="eastAsia"/>
              </w:rPr>
              <w:t>随意更换包装形式，物流过程中包装破损，影响产品正常使用</w:t>
            </w:r>
          </w:p>
        </w:tc>
        <w:tc>
          <w:tcPr>
            <w:tcW w:w="4678" w:type="dxa"/>
            <w:vAlign w:val="center"/>
          </w:tcPr>
          <w:p>
            <w:pPr>
              <w:pStyle w:val="11"/>
              <w:numPr>
                <w:ilvl w:val="0"/>
                <w:numId w:val="21"/>
              </w:numPr>
              <w:ind w:firstLineChars="0"/>
            </w:pPr>
            <w:r>
              <w:rPr>
                <w:rFonts w:hint="eastAsia"/>
              </w:rPr>
              <w:t>来料拒检，直接退货</w:t>
            </w:r>
          </w:p>
          <w:p>
            <w:pPr>
              <w:pStyle w:val="11"/>
              <w:numPr>
                <w:ilvl w:val="0"/>
                <w:numId w:val="21"/>
              </w:numPr>
              <w:ind w:firstLineChars="0"/>
            </w:pPr>
            <w:r>
              <w:rPr>
                <w:rFonts w:hint="eastAsia"/>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rPr>
            </w:pPr>
            <w:r>
              <w:rPr>
                <w:rFonts w:hint="eastAsia" w:asciiTheme="minorEastAsia" w:hAnsiTheme="minorEastAsia"/>
                <w:b/>
              </w:rPr>
              <w:t>4</w:t>
            </w:r>
          </w:p>
        </w:tc>
        <w:tc>
          <w:tcPr>
            <w:tcW w:w="9924" w:type="dxa"/>
            <w:gridSpan w:val="3"/>
            <w:vAlign w:val="center"/>
          </w:tcPr>
          <w:p>
            <w:pPr>
              <w:rPr>
                <w:b/>
              </w:rPr>
            </w:pPr>
            <w:r>
              <w:rPr>
                <w:rFonts w:hint="eastAsia"/>
                <w:b/>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rPr>
            </w:pPr>
            <w:r>
              <w:rPr>
                <w:rFonts w:hint="eastAsia" w:asciiTheme="minorEastAsia" w:hAnsiTheme="minorEastAsia"/>
              </w:rPr>
              <w:t>4.1</w:t>
            </w:r>
          </w:p>
        </w:tc>
        <w:tc>
          <w:tcPr>
            <w:tcW w:w="1136" w:type="dxa"/>
            <w:vAlign w:val="center"/>
          </w:tcPr>
          <w:p>
            <w:pPr>
              <w:jc w:val="center"/>
            </w:pPr>
            <w:r>
              <w:rPr>
                <w:rFonts w:hint="eastAsia"/>
              </w:rPr>
              <w:t>配合</w:t>
            </w:r>
          </w:p>
          <w:p>
            <w:pPr>
              <w:jc w:val="center"/>
            </w:pPr>
            <w:r>
              <w:rPr>
                <w:rFonts w:hint="eastAsia"/>
              </w:rPr>
              <w:t>态度</w:t>
            </w:r>
          </w:p>
        </w:tc>
        <w:tc>
          <w:tcPr>
            <w:tcW w:w="4110" w:type="dxa"/>
            <w:vAlign w:val="center"/>
          </w:tcPr>
          <w:p>
            <w:r>
              <w:rPr>
                <w:rFonts w:hint="eastAsia"/>
              </w:rPr>
              <w:t>供应商多次在沟通、响应、合作方面配合消极，态度恶劣。</w:t>
            </w:r>
          </w:p>
        </w:tc>
        <w:tc>
          <w:tcPr>
            <w:tcW w:w="4678" w:type="dxa"/>
            <w:vAlign w:val="center"/>
          </w:tcPr>
          <w:p>
            <w:pPr>
              <w:pStyle w:val="11"/>
              <w:numPr>
                <w:ilvl w:val="0"/>
                <w:numId w:val="22"/>
              </w:numPr>
              <w:ind w:firstLineChars="0"/>
            </w:pPr>
            <w:r>
              <w:rPr>
                <w:rFonts w:hint="eastAsia"/>
              </w:rPr>
              <w:t>考核1仟元</w:t>
            </w:r>
          </w:p>
          <w:p>
            <w:pPr>
              <w:pStyle w:val="11"/>
              <w:numPr>
                <w:ilvl w:val="0"/>
                <w:numId w:val="22"/>
              </w:numPr>
              <w:ind w:firstLineChars="0"/>
            </w:pPr>
            <w:r>
              <w:rPr>
                <w:rFonts w:hint="eastAsia"/>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rPr>
            </w:pPr>
            <w:r>
              <w:rPr>
                <w:rFonts w:hint="eastAsia" w:asciiTheme="minorEastAsia" w:hAnsiTheme="minorEastAsia"/>
              </w:rPr>
              <w:t>4.2</w:t>
            </w:r>
          </w:p>
        </w:tc>
        <w:tc>
          <w:tcPr>
            <w:tcW w:w="1136" w:type="dxa"/>
            <w:vAlign w:val="center"/>
          </w:tcPr>
          <w:p>
            <w:pPr>
              <w:jc w:val="center"/>
            </w:pPr>
            <w:r>
              <w:rPr>
                <w:rFonts w:hint="eastAsia"/>
              </w:rPr>
              <w:t>现场</w:t>
            </w:r>
          </w:p>
          <w:p>
            <w:pPr>
              <w:jc w:val="center"/>
            </w:pPr>
            <w:r>
              <w:rPr>
                <w:rFonts w:hint="eastAsia"/>
              </w:rPr>
              <w:t>服务</w:t>
            </w:r>
          </w:p>
        </w:tc>
        <w:tc>
          <w:tcPr>
            <w:tcW w:w="4110" w:type="dxa"/>
            <w:vAlign w:val="center"/>
          </w:tcPr>
          <w:p>
            <w:r>
              <w:rPr>
                <w:rFonts w:hint="eastAsia"/>
              </w:rPr>
              <w:t>供应商产品质量不稳定，且不按荣昌要求派驻现场服务。</w:t>
            </w:r>
          </w:p>
        </w:tc>
        <w:tc>
          <w:tcPr>
            <w:tcW w:w="4678" w:type="dxa"/>
            <w:vAlign w:val="center"/>
          </w:tcPr>
          <w:p>
            <w:pPr>
              <w:pStyle w:val="11"/>
              <w:numPr>
                <w:ilvl w:val="0"/>
                <w:numId w:val="23"/>
              </w:numPr>
              <w:ind w:firstLineChars="0"/>
            </w:pPr>
            <w:r>
              <w:rPr>
                <w:rFonts w:hint="eastAsia"/>
              </w:rPr>
              <w:t>考核3仟元</w:t>
            </w:r>
          </w:p>
          <w:p>
            <w:pPr>
              <w:pStyle w:val="11"/>
              <w:numPr>
                <w:ilvl w:val="0"/>
                <w:numId w:val="23"/>
              </w:numPr>
              <w:ind w:firstLineChars="0"/>
            </w:pPr>
            <w:r>
              <w:rPr>
                <w:rFonts w:hint="eastAsia"/>
              </w:rPr>
              <w:t>影响荣昌正常生产时可停止供货</w:t>
            </w:r>
          </w:p>
        </w:tc>
      </w:tr>
    </w:tbl>
    <w:p>
      <w:pPr>
        <w:rPr>
          <w:b/>
          <w:szCs w:val="21"/>
        </w:rPr>
      </w:pPr>
    </w:p>
    <w:p>
      <w:pPr>
        <w:rPr>
          <w:b/>
          <w:szCs w:val="21"/>
        </w:rPr>
      </w:pPr>
    </w:p>
    <w:p>
      <w:pPr>
        <w:rPr>
          <w:b/>
          <w:szCs w:val="21"/>
        </w:rPr>
      </w:pPr>
      <w:r>
        <w:rPr>
          <w:rFonts w:hint="eastAsia"/>
          <w:b/>
          <w:szCs w:val="21"/>
        </w:rPr>
        <w:t>附件二</w:t>
      </w:r>
    </w:p>
    <w:p>
      <w:pPr>
        <w:jc w:val="center"/>
        <w:rPr>
          <w:b/>
          <w:sz w:val="28"/>
        </w:rPr>
      </w:pPr>
      <w:r>
        <w:rPr>
          <w:rFonts w:hint="eastAsia"/>
          <w:b/>
          <w:sz w:val="28"/>
        </w:rPr>
        <w:t>零部件重要度分类</w:t>
      </w:r>
    </w:p>
    <w:p>
      <w:pPr>
        <w:spacing w:before="156" w:beforeLines="50" w:after="156" w:afterLines="50"/>
        <w:rPr>
          <w:b/>
          <w:sz w:val="24"/>
        </w:rPr>
      </w:pPr>
    </w:p>
    <w:p>
      <w:pPr>
        <w:spacing w:before="156" w:beforeLines="50" w:after="156" w:afterLines="50"/>
        <w:rPr>
          <w:rFonts w:asciiTheme="minorEastAsia" w:hAnsiTheme="minorEastAsia"/>
          <w:b/>
          <w:sz w:val="28"/>
        </w:rPr>
      </w:pPr>
      <w:r>
        <w:rPr>
          <w:rFonts w:hint="eastAsia" w:asciiTheme="minorEastAsia" w:hAnsiTheme="minorEastAsia"/>
          <w:b/>
          <w:sz w:val="24"/>
        </w:rPr>
        <w:t>1、座椅零部件分类</w:t>
      </w: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710" w:type="dxa"/>
            <w:vAlign w:val="center"/>
          </w:tcPr>
          <w:p>
            <w:pPr>
              <w:spacing w:before="156" w:beforeLines="50" w:after="156" w:afterLines="50"/>
              <w:jc w:val="center"/>
              <w:rPr>
                <w:b/>
                <w:sz w:val="22"/>
              </w:rPr>
            </w:pPr>
            <w:r>
              <w:rPr>
                <w:rFonts w:hint="eastAsia"/>
                <w:b/>
                <w:sz w:val="22"/>
              </w:rPr>
              <w:t>序号</w:t>
            </w:r>
          </w:p>
        </w:tc>
        <w:tc>
          <w:tcPr>
            <w:tcW w:w="1417" w:type="dxa"/>
            <w:vAlign w:val="center"/>
          </w:tcPr>
          <w:p>
            <w:pPr>
              <w:spacing w:before="156" w:beforeLines="50" w:after="156" w:afterLines="50"/>
              <w:jc w:val="center"/>
              <w:rPr>
                <w:b/>
                <w:sz w:val="22"/>
              </w:rPr>
            </w:pPr>
            <w:r>
              <w:rPr>
                <w:rFonts w:hint="eastAsia"/>
                <w:b/>
                <w:sz w:val="22"/>
              </w:rPr>
              <w:t>重要度分类</w:t>
            </w:r>
          </w:p>
        </w:tc>
        <w:tc>
          <w:tcPr>
            <w:tcW w:w="3260" w:type="dxa"/>
            <w:vAlign w:val="center"/>
          </w:tcPr>
          <w:p>
            <w:pPr>
              <w:spacing w:before="156" w:beforeLines="50" w:after="156" w:afterLines="50"/>
              <w:jc w:val="center"/>
              <w:rPr>
                <w:b/>
                <w:sz w:val="22"/>
              </w:rPr>
            </w:pPr>
            <w:r>
              <w:rPr>
                <w:rFonts w:hint="eastAsia"/>
                <w:b/>
                <w:sz w:val="22"/>
              </w:rPr>
              <w:t>分类标准</w:t>
            </w:r>
          </w:p>
        </w:tc>
        <w:tc>
          <w:tcPr>
            <w:tcW w:w="3828" w:type="dxa"/>
            <w:vAlign w:val="center"/>
          </w:tcPr>
          <w:p>
            <w:pPr>
              <w:spacing w:before="156" w:beforeLines="50" w:after="156" w:afterLines="50"/>
              <w:jc w:val="center"/>
              <w:rPr>
                <w:b/>
                <w:sz w:val="22"/>
              </w:rPr>
            </w:pPr>
            <w:r>
              <w:rPr>
                <w:rFonts w:hint="eastAsia"/>
                <w:b/>
                <w:sz w:val="22"/>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1</w:t>
            </w:r>
          </w:p>
        </w:tc>
        <w:tc>
          <w:tcPr>
            <w:tcW w:w="1417"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关键件</w:t>
            </w:r>
          </w:p>
        </w:tc>
        <w:tc>
          <w:tcPr>
            <w:tcW w:w="3260" w:type="dxa"/>
            <w:vAlign w:val="center"/>
          </w:tcPr>
          <w:p>
            <w:pPr>
              <w:spacing w:before="156" w:beforeLines="50" w:after="156" w:afterLines="50"/>
              <w:rPr>
                <w:rFonts w:asciiTheme="minorEastAsia" w:hAnsiTheme="minorEastAsia"/>
                <w:sz w:val="22"/>
              </w:rPr>
            </w:pPr>
            <w:r>
              <w:rPr>
                <w:rFonts w:hint="eastAsia" w:asciiTheme="minorEastAsia" w:hAnsiTheme="minorEastAsia"/>
                <w:sz w:val="22"/>
              </w:rPr>
              <w:t>失效后会发生安全事故，丧失产品主要功能，严重影响产品使用寿命，产生违反法规的污染，引起用户强烈抱怨。</w:t>
            </w:r>
          </w:p>
        </w:tc>
        <w:tc>
          <w:tcPr>
            <w:tcW w:w="3828" w:type="dxa"/>
            <w:vAlign w:val="center"/>
          </w:tcPr>
          <w:p>
            <w:pPr>
              <w:spacing w:before="156" w:beforeLines="50" w:after="156" w:afterLines="50"/>
              <w:rPr>
                <w:sz w:val="22"/>
              </w:rPr>
            </w:pPr>
            <w:r>
              <w:rPr>
                <w:rFonts w:hint="eastAsia"/>
                <w:sz w:val="22"/>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3"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2</w:t>
            </w:r>
          </w:p>
        </w:tc>
        <w:tc>
          <w:tcPr>
            <w:tcW w:w="1417" w:type="dxa"/>
            <w:vAlign w:val="center"/>
          </w:tcPr>
          <w:p>
            <w:pPr>
              <w:spacing w:before="156" w:beforeLines="50" w:after="156" w:afterLines="50"/>
              <w:jc w:val="center"/>
              <w:rPr>
                <w:sz w:val="22"/>
              </w:rPr>
            </w:pPr>
            <w:r>
              <w:rPr>
                <w:rFonts w:hint="eastAsia"/>
                <w:sz w:val="22"/>
              </w:rPr>
              <w:t>重要件</w:t>
            </w:r>
          </w:p>
        </w:tc>
        <w:tc>
          <w:tcPr>
            <w:tcW w:w="3260" w:type="dxa"/>
            <w:vAlign w:val="center"/>
          </w:tcPr>
          <w:p>
            <w:pPr>
              <w:spacing w:before="156" w:beforeLines="50" w:after="156" w:afterLines="50"/>
              <w:rPr>
                <w:sz w:val="22"/>
              </w:rPr>
            </w:pPr>
            <w:r>
              <w:rPr>
                <w:rFonts w:hint="eastAsia"/>
                <w:sz w:val="22"/>
              </w:rPr>
              <w:t>失效后会影响产品使用性能和寿命，可能引起用户抱怨。</w:t>
            </w:r>
          </w:p>
        </w:tc>
        <w:tc>
          <w:tcPr>
            <w:tcW w:w="3828" w:type="dxa"/>
            <w:vAlign w:val="center"/>
          </w:tcPr>
          <w:p>
            <w:pPr>
              <w:spacing w:before="156" w:beforeLines="50" w:after="156" w:afterLines="50"/>
              <w:rPr>
                <w:sz w:val="22"/>
              </w:rPr>
            </w:pPr>
            <w:r>
              <w:rPr>
                <w:rFonts w:hint="eastAsia"/>
                <w:sz w:val="22"/>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3</w:t>
            </w:r>
          </w:p>
        </w:tc>
        <w:tc>
          <w:tcPr>
            <w:tcW w:w="1417" w:type="dxa"/>
            <w:vAlign w:val="center"/>
          </w:tcPr>
          <w:p>
            <w:pPr>
              <w:spacing w:before="156" w:beforeLines="50" w:after="156" w:afterLines="50"/>
              <w:jc w:val="center"/>
              <w:rPr>
                <w:sz w:val="22"/>
              </w:rPr>
            </w:pPr>
            <w:r>
              <w:rPr>
                <w:rFonts w:hint="eastAsia"/>
                <w:sz w:val="22"/>
              </w:rPr>
              <w:t>一般件</w:t>
            </w:r>
          </w:p>
        </w:tc>
        <w:tc>
          <w:tcPr>
            <w:tcW w:w="3260" w:type="dxa"/>
            <w:vAlign w:val="center"/>
          </w:tcPr>
          <w:p>
            <w:pPr>
              <w:spacing w:before="156" w:beforeLines="50" w:after="156" w:afterLines="50"/>
              <w:rPr>
                <w:sz w:val="22"/>
              </w:rPr>
            </w:pPr>
            <w:r>
              <w:rPr>
                <w:rFonts w:hint="eastAsia"/>
                <w:sz w:val="22"/>
              </w:rPr>
              <w:t>失效后仅对产品的外观产生影响。</w:t>
            </w:r>
          </w:p>
        </w:tc>
        <w:tc>
          <w:tcPr>
            <w:tcW w:w="3828" w:type="dxa"/>
            <w:vAlign w:val="center"/>
          </w:tcPr>
          <w:p>
            <w:pPr>
              <w:spacing w:before="156" w:beforeLines="50" w:after="156" w:afterLines="50"/>
              <w:rPr>
                <w:sz w:val="22"/>
              </w:rPr>
            </w:pPr>
            <w:r>
              <w:rPr>
                <w:rFonts w:hint="eastAsia"/>
                <w:sz w:val="22"/>
              </w:rPr>
              <w:t>包装箱、防尘袋、无纺布等</w:t>
            </w:r>
          </w:p>
        </w:tc>
      </w:tr>
    </w:tbl>
    <w:p>
      <w:pPr>
        <w:spacing w:before="156" w:beforeLines="50" w:after="156" w:afterLines="50"/>
        <w:rPr>
          <w:b/>
          <w:sz w:val="24"/>
        </w:rPr>
      </w:pPr>
    </w:p>
    <w:p>
      <w:pPr>
        <w:spacing w:before="156" w:beforeLines="50" w:after="156" w:afterLines="50"/>
        <w:rPr>
          <w:rFonts w:asciiTheme="minorEastAsia" w:hAnsiTheme="minorEastAsia"/>
          <w:b/>
          <w:sz w:val="24"/>
          <w:szCs w:val="24"/>
        </w:rPr>
      </w:pPr>
      <w:r>
        <w:rPr>
          <w:rFonts w:hint="eastAsia" w:asciiTheme="minorEastAsia" w:hAnsiTheme="minorEastAsia"/>
          <w:b/>
          <w:sz w:val="24"/>
          <w:szCs w:val="24"/>
        </w:rPr>
        <w:t>2、灯镜零部件分类</w:t>
      </w: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710" w:type="dxa"/>
            <w:vAlign w:val="center"/>
          </w:tcPr>
          <w:p>
            <w:pPr>
              <w:spacing w:before="156" w:beforeLines="50" w:after="156" w:afterLines="50"/>
              <w:jc w:val="center"/>
              <w:rPr>
                <w:b/>
                <w:sz w:val="22"/>
              </w:rPr>
            </w:pPr>
            <w:r>
              <w:rPr>
                <w:rFonts w:hint="eastAsia"/>
                <w:b/>
                <w:sz w:val="22"/>
              </w:rPr>
              <w:t>序号</w:t>
            </w:r>
          </w:p>
        </w:tc>
        <w:tc>
          <w:tcPr>
            <w:tcW w:w="1417" w:type="dxa"/>
            <w:vAlign w:val="center"/>
          </w:tcPr>
          <w:p>
            <w:pPr>
              <w:spacing w:before="156" w:beforeLines="50" w:after="156" w:afterLines="50"/>
              <w:jc w:val="center"/>
              <w:rPr>
                <w:b/>
                <w:sz w:val="22"/>
              </w:rPr>
            </w:pPr>
            <w:r>
              <w:rPr>
                <w:rFonts w:hint="eastAsia"/>
                <w:b/>
                <w:sz w:val="22"/>
              </w:rPr>
              <w:t>重要度分类</w:t>
            </w:r>
          </w:p>
        </w:tc>
        <w:tc>
          <w:tcPr>
            <w:tcW w:w="3260" w:type="dxa"/>
            <w:vAlign w:val="center"/>
          </w:tcPr>
          <w:p>
            <w:pPr>
              <w:spacing w:before="156" w:beforeLines="50" w:after="156" w:afterLines="50"/>
              <w:jc w:val="center"/>
              <w:rPr>
                <w:b/>
                <w:sz w:val="22"/>
              </w:rPr>
            </w:pPr>
            <w:r>
              <w:rPr>
                <w:rFonts w:hint="eastAsia"/>
                <w:b/>
                <w:sz w:val="22"/>
              </w:rPr>
              <w:t>分类标准</w:t>
            </w:r>
          </w:p>
        </w:tc>
        <w:tc>
          <w:tcPr>
            <w:tcW w:w="3828" w:type="dxa"/>
            <w:vAlign w:val="center"/>
          </w:tcPr>
          <w:p>
            <w:pPr>
              <w:spacing w:before="156" w:beforeLines="50" w:after="156" w:afterLines="50"/>
              <w:jc w:val="center"/>
              <w:rPr>
                <w:b/>
                <w:sz w:val="22"/>
              </w:rPr>
            </w:pPr>
            <w:r>
              <w:rPr>
                <w:rFonts w:hint="eastAsia"/>
                <w:b/>
                <w:sz w:val="22"/>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1</w:t>
            </w:r>
          </w:p>
        </w:tc>
        <w:tc>
          <w:tcPr>
            <w:tcW w:w="1417" w:type="dxa"/>
            <w:vAlign w:val="center"/>
          </w:tcPr>
          <w:p>
            <w:pPr>
              <w:spacing w:before="156" w:beforeLines="50" w:after="156" w:afterLines="50"/>
              <w:jc w:val="center"/>
              <w:rPr>
                <w:sz w:val="22"/>
              </w:rPr>
            </w:pPr>
            <w:r>
              <w:rPr>
                <w:rFonts w:hint="eastAsia"/>
                <w:sz w:val="22"/>
              </w:rPr>
              <w:t>关键件</w:t>
            </w:r>
          </w:p>
        </w:tc>
        <w:tc>
          <w:tcPr>
            <w:tcW w:w="3260" w:type="dxa"/>
            <w:vAlign w:val="center"/>
          </w:tcPr>
          <w:p>
            <w:pPr>
              <w:spacing w:before="156" w:beforeLines="50" w:after="156" w:afterLines="50"/>
              <w:rPr>
                <w:sz w:val="22"/>
              </w:rPr>
            </w:pPr>
            <w:r>
              <w:rPr>
                <w:rFonts w:hint="eastAsia" w:asciiTheme="minorEastAsia" w:hAnsiTheme="minorEastAsia"/>
                <w:sz w:val="22"/>
              </w:rPr>
              <w:t>失效后会发生安全事故，丧失产品主要功能，严重影响产品使用寿命，产生违反法规的污染，引起用户强烈抱怨。</w:t>
            </w:r>
          </w:p>
        </w:tc>
        <w:tc>
          <w:tcPr>
            <w:tcW w:w="3828" w:type="dxa"/>
            <w:vAlign w:val="center"/>
          </w:tcPr>
          <w:p>
            <w:pPr>
              <w:spacing w:before="156" w:beforeLines="50" w:after="156" w:afterLines="50"/>
              <w:rPr>
                <w:sz w:val="22"/>
              </w:rPr>
            </w:pPr>
            <w:r>
              <w:rPr>
                <w:rFonts w:hint="eastAsia"/>
                <w:sz w:val="22"/>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6"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2</w:t>
            </w:r>
          </w:p>
        </w:tc>
        <w:tc>
          <w:tcPr>
            <w:tcW w:w="1417" w:type="dxa"/>
            <w:vAlign w:val="center"/>
          </w:tcPr>
          <w:p>
            <w:pPr>
              <w:spacing w:before="156" w:beforeLines="50" w:after="156" w:afterLines="50"/>
              <w:jc w:val="center"/>
              <w:rPr>
                <w:sz w:val="22"/>
              </w:rPr>
            </w:pPr>
            <w:r>
              <w:rPr>
                <w:rFonts w:hint="eastAsia"/>
                <w:sz w:val="22"/>
              </w:rPr>
              <w:t>重要件</w:t>
            </w:r>
          </w:p>
        </w:tc>
        <w:tc>
          <w:tcPr>
            <w:tcW w:w="3260" w:type="dxa"/>
            <w:vAlign w:val="center"/>
          </w:tcPr>
          <w:p>
            <w:pPr>
              <w:spacing w:before="156" w:beforeLines="50" w:after="156" w:afterLines="50"/>
              <w:rPr>
                <w:sz w:val="22"/>
              </w:rPr>
            </w:pPr>
            <w:r>
              <w:rPr>
                <w:rFonts w:hint="eastAsia"/>
                <w:sz w:val="22"/>
              </w:rPr>
              <w:t>失效后会影响产品使用性能和寿命，可能引起用户抱怨。</w:t>
            </w:r>
          </w:p>
        </w:tc>
        <w:tc>
          <w:tcPr>
            <w:tcW w:w="3828" w:type="dxa"/>
            <w:vAlign w:val="center"/>
          </w:tcPr>
          <w:p>
            <w:pPr>
              <w:spacing w:before="156" w:beforeLines="50" w:after="156" w:afterLines="50"/>
              <w:rPr>
                <w:sz w:val="22"/>
              </w:rPr>
            </w:pPr>
            <w:r>
              <w:rPr>
                <w:rFonts w:hint="eastAsia"/>
                <w:sz w:val="22"/>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3</w:t>
            </w:r>
          </w:p>
        </w:tc>
        <w:tc>
          <w:tcPr>
            <w:tcW w:w="1417" w:type="dxa"/>
            <w:vAlign w:val="center"/>
          </w:tcPr>
          <w:p>
            <w:pPr>
              <w:spacing w:before="156" w:beforeLines="50" w:after="156" w:afterLines="50"/>
              <w:jc w:val="center"/>
              <w:rPr>
                <w:sz w:val="22"/>
              </w:rPr>
            </w:pPr>
            <w:r>
              <w:rPr>
                <w:rFonts w:hint="eastAsia"/>
                <w:sz w:val="22"/>
              </w:rPr>
              <w:t>一般件</w:t>
            </w:r>
          </w:p>
        </w:tc>
        <w:tc>
          <w:tcPr>
            <w:tcW w:w="3260" w:type="dxa"/>
            <w:vAlign w:val="center"/>
          </w:tcPr>
          <w:p>
            <w:pPr>
              <w:spacing w:before="156" w:beforeLines="50" w:after="156" w:afterLines="50"/>
              <w:rPr>
                <w:sz w:val="22"/>
              </w:rPr>
            </w:pPr>
            <w:r>
              <w:rPr>
                <w:rFonts w:hint="eastAsia"/>
                <w:sz w:val="22"/>
              </w:rPr>
              <w:t>失效后仅对产品的外观产生影响。</w:t>
            </w:r>
          </w:p>
        </w:tc>
        <w:tc>
          <w:tcPr>
            <w:tcW w:w="3828" w:type="dxa"/>
            <w:vAlign w:val="center"/>
          </w:tcPr>
          <w:p>
            <w:pPr>
              <w:spacing w:before="156" w:beforeLines="50" w:after="156" w:afterLines="50"/>
              <w:rPr>
                <w:sz w:val="22"/>
              </w:rPr>
            </w:pPr>
            <w:r>
              <w:rPr>
                <w:rFonts w:hint="eastAsia"/>
                <w:sz w:val="22"/>
              </w:rPr>
              <w:t>包装箱、防尘袋、无纺布、标识等</w:t>
            </w:r>
          </w:p>
        </w:tc>
      </w:tr>
    </w:tbl>
    <w:p>
      <w:pPr>
        <w:spacing w:before="156" w:beforeLines="50" w:after="156" w:afterLines="50"/>
        <w:rPr>
          <w:b/>
          <w:sz w:val="24"/>
          <w:highlight w:val="yellow"/>
        </w:rPr>
      </w:pPr>
    </w:p>
    <w:p>
      <w:pPr>
        <w:spacing w:before="156" w:beforeLines="50" w:after="156" w:afterLines="50"/>
        <w:rPr>
          <w:b/>
          <w:sz w:val="24"/>
          <w:highlight w:val="yellow"/>
        </w:rPr>
      </w:pPr>
    </w:p>
    <w:p>
      <w:pPr>
        <w:rPr>
          <w:b/>
          <w:sz w:val="24"/>
          <w:highlight w:val="yellow"/>
        </w:rPr>
      </w:pPr>
    </w:p>
    <w:p>
      <w:pPr>
        <w:rPr>
          <w:b/>
          <w:sz w:val="24"/>
          <w:highlight w:val="yellow"/>
        </w:rPr>
      </w:pPr>
    </w:p>
    <w:p>
      <w:pPr>
        <w:rPr>
          <w:b/>
          <w:sz w:val="24"/>
          <w:highlight w:val="yellow"/>
        </w:rPr>
      </w:pPr>
    </w:p>
    <w:p>
      <w:pPr>
        <w:rPr>
          <w:b/>
          <w:sz w:val="24"/>
        </w:rPr>
      </w:pPr>
      <w:r>
        <w:rPr>
          <w:rFonts w:hint="eastAsia"/>
          <w:b/>
          <w:sz w:val="24"/>
        </w:rPr>
        <w:t>附件三</w:t>
      </w:r>
    </w:p>
    <w:p>
      <w:pPr>
        <w:jc w:val="center"/>
        <w:rPr>
          <w:b/>
          <w:sz w:val="24"/>
        </w:rPr>
      </w:pPr>
    </w:p>
    <w:p>
      <w:pPr>
        <w:jc w:val="center"/>
        <w:rPr>
          <w:b/>
          <w:sz w:val="40"/>
        </w:rPr>
      </w:pPr>
      <w:r>
        <w:rPr>
          <w:rFonts w:hint="eastAsia"/>
          <w:b/>
          <w:sz w:val="40"/>
          <w:u w:val="single"/>
        </w:rPr>
        <w:t xml:space="preserve">      </w:t>
      </w:r>
      <w:r>
        <w:rPr>
          <w:rFonts w:hint="eastAsia"/>
          <w:b/>
          <w:sz w:val="40"/>
        </w:rPr>
        <w:t>年  零部件质量目标（PPM）</w:t>
      </w:r>
    </w:p>
    <w:p>
      <w:pPr>
        <w:jc w:val="center"/>
        <w:rPr>
          <w:b/>
          <w:sz w:val="24"/>
        </w:rPr>
      </w:pPr>
    </w:p>
    <w:p>
      <w:pPr>
        <w:spacing w:before="312" w:beforeLines="100" w:after="312" w:afterLines="100"/>
        <w:jc w:val="center"/>
        <w:rPr>
          <w:b/>
          <w:sz w:val="24"/>
        </w:rPr>
      </w:pPr>
    </w:p>
    <w:p>
      <w:pPr>
        <w:spacing w:before="312" w:beforeLines="100" w:after="312" w:afterLines="100"/>
        <w:jc w:val="left"/>
        <w:rPr>
          <w:b/>
          <w:sz w:val="24"/>
        </w:rPr>
      </w:pPr>
      <w:r>
        <w:rPr>
          <w:rFonts w:hint="eastAsia"/>
          <w:b/>
          <w:sz w:val="24"/>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726"/>
        <w:gridCol w:w="2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trPr>
        <w:tc>
          <w:tcPr>
            <w:tcW w:w="959" w:type="dxa"/>
            <w:vAlign w:val="center"/>
          </w:tcPr>
          <w:p>
            <w:pPr>
              <w:jc w:val="center"/>
              <w:rPr>
                <w:b/>
                <w:sz w:val="24"/>
              </w:rPr>
            </w:pPr>
            <w:r>
              <w:rPr>
                <w:rFonts w:hint="eastAsia"/>
                <w:b/>
                <w:sz w:val="24"/>
              </w:rPr>
              <w:t>序号</w:t>
            </w:r>
          </w:p>
        </w:tc>
        <w:tc>
          <w:tcPr>
            <w:tcW w:w="4726" w:type="dxa"/>
            <w:vAlign w:val="center"/>
          </w:tcPr>
          <w:p>
            <w:pPr>
              <w:jc w:val="center"/>
              <w:rPr>
                <w:b/>
                <w:sz w:val="24"/>
              </w:rPr>
            </w:pPr>
            <w:r>
              <w:rPr>
                <w:rFonts w:hint="eastAsia"/>
                <w:b/>
                <w:sz w:val="24"/>
              </w:rPr>
              <w:t>供货零部件类别</w:t>
            </w:r>
          </w:p>
        </w:tc>
        <w:tc>
          <w:tcPr>
            <w:tcW w:w="2843" w:type="dxa"/>
            <w:vAlign w:val="center"/>
          </w:tcPr>
          <w:p>
            <w:pPr>
              <w:jc w:val="center"/>
              <w:rPr>
                <w:b/>
                <w:sz w:val="24"/>
              </w:rPr>
            </w:pPr>
            <w:r>
              <w:rPr>
                <w:rFonts w:hint="eastAsia"/>
                <w:b/>
                <w:sz w:val="24"/>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1</w:t>
            </w:r>
          </w:p>
        </w:tc>
        <w:tc>
          <w:tcPr>
            <w:tcW w:w="4726" w:type="dxa"/>
            <w:vAlign w:val="center"/>
          </w:tcPr>
          <w:p>
            <w:pPr>
              <w:jc w:val="center"/>
              <w:rPr>
                <w:b/>
                <w:sz w:val="24"/>
              </w:rPr>
            </w:pPr>
          </w:p>
        </w:tc>
        <w:tc>
          <w:tcPr>
            <w:tcW w:w="2843" w:type="dxa"/>
            <w:vAlign w:val="center"/>
          </w:tcPr>
          <w:p>
            <w:pPr>
              <w:jc w:val="center"/>
              <w:rPr>
                <w:b/>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2</w:t>
            </w:r>
          </w:p>
        </w:tc>
        <w:tc>
          <w:tcPr>
            <w:tcW w:w="4726" w:type="dxa"/>
            <w:vAlign w:val="center"/>
          </w:tcPr>
          <w:p>
            <w:pPr>
              <w:jc w:val="center"/>
              <w:rPr>
                <w:b/>
                <w:sz w:val="24"/>
              </w:rPr>
            </w:pPr>
          </w:p>
        </w:tc>
        <w:tc>
          <w:tcPr>
            <w:tcW w:w="2843" w:type="dxa"/>
            <w:vAlign w:val="center"/>
          </w:tcPr>
          <w:p>
            <w:pPr>
              <w:jc w:val="center"/>
              <w:rPr>
                <w:b/>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3</w:t>
            </w:r>
          </w:p>
        </w:tc>
        <w:tc>
          <w:tcPr>
            <w:tcW w:w="4726" w:type="dxa"/>
            <w:vAlign w:val="center"/>
          </w:tcPr>
          <w:p>
            <w:pPr>
              <w:jc w:val="center"/>
              <w:rPr>
                <w:b/>
                <w:sz w:val="24"/>
              </w:rPr>
            </w:pPr>
          </w:p>
        </w:tc>
        <w:tc>
          <w:tcPr>
            <w:tcW w:w="2843" w:type="dxa"/>
            <w:vAlign w:val="center"/>
          </w:tcPr>
          <w:p>
            <w:pPr>
              <w:jc w:val="center"/>
              <w:rPr>
                <w:b/>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w:t>
            </w:r>
          </w:p>
        </w:tc>
        <w:tc>
          <w:tcPr>
            <w:tcW w:w="4726" w:type="dxa"/>
            <w:vAlign w:val="center"/>
          </w:tcPr>
          <w:p>
            <w:pPr>
              <w:jc w:val="center"/>
              <w:rPr>
                <w:b/>
                <w:sz w:val="24"/>
              </w:rPr>
            </w:pPr>
            <w:r>
              <w:rPr>
                <w:rFonts w:hint="eastAsia"/>
                <w:b/>
                <w:sz w:val="24"/>
              </w:rPr>
              <w:t>。。。</w:t>
            </w:r>
          </w:p>
        </w:tc>
        <w:tc>
          <w:tcPr>
            <w:tcW w:w="2843" w:type="dxa"/>
            <w:vAlign w:val="center"/>
          </w:tcPr>
          <w:p>
            <w:pPr>
              <w:jc w:val="center"/>
              <w:rPr>
                <w:b/>
                <w:sz w:val="24"/>
              </w:rPr>
            </w:pPr>
            <w:r>
              <w:rPr>
                <w:rFonts w:hint="eastAsia"/>
                <w:b/>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8" w:type="dxa"/>
            <w:gridSpan w:val="3"/>
            <w:vAlign w:val="center"/>
          </w:tcPr>
          <w:p>
            <w:pPr>
              <w:jc w:val="left"/>
              <w:rPr>
                <w:b/>
                <w:sz w:val="18"/>
              </w:rPr>
            </w:pPr>
            <w:r>
              <w:rPr>
                <w:rFonts w:hint="eastAsia"/>
                <w:b/>
                <w:sz w:val="18"/>
              </w:rPr>
              <w:t>注：1）PPM目标每月评价；</w:t>
            </w:r>
          </w:p>
          <w:p>
            <w:pPr>
              <w:ind w:firstLine="408" w:firstLineChars="226"/>
              <w:jc w:val="left"/>
              <w:rPr>
                <w:b/>
                <w:sz w:val="18"/>
              </w:rPr>
            </w:pPr>
            <w:r>
              <w:rPr>
                <w:rFonts w:hint="eastAsia"/>
                <w:b/>
                <w:sz w:val="18"/>
              </w:rPr>
              <w:t>2）当月PPM值 =当月乙方供货的某类零件的不良数和 / 当月乙方供货某类零件的来料数和；</w:t>
            </w:r>
          </w:p>
          <w:p>
            <w:pPr>
              <w:ind w:firstLine="408" w:firstLineChars="226"/>
              <w:jc w:val="left"/>
              <w:rPr>
                <w:b/>
                <w:sz w:val="24"/>
              </w:rPr>
            </w:pPr>
            <w:r>
              <w:rPr>
                <w:rFonts w:hint="eastAsia"/>
                <w:b/>
                <w:sz w:val="18"/>
              </w:rPr>
              <w:t>3）不良数=外检不良数+制程不良数+0公里不良数</w:t>
            </w:r>
          </w:p>
        </w:tc>
      </w:tr>
    </w:tbl>
    <w:p>
      <w:pPr>
        <w:spacing w:before="312" w:beforeLines="100" w:after="312" w:afterLines="100"/>
        <w:rPr>
          <w:b/>
          <w:sz w:val="24"/>
        </w:rPr>
      </w:pPr>
      <w:r>
        <w:rPr>
          <w:rFonts w:hint="eastAsia"/>
          <w:b/>
          <w:sz w:val="24"/>
        </w:rPr>
        <w:t>2、供应商质量体系认证</w:t>
      </w:r>
    </w:p>
    <w:p>
      <w:pPr>
        <w:spacing w:before="312" w:beforeLines="100" w:after="312" w:afterLines="100"/>
        <w:ind w:firstLine="361" w:firstLineChars="150"/>
        <w:rPr>
          <w:b/>
          <w:sz w:val="24"/>
        </w:rPr>
      </w:pPr>
      <w:r>
        <w:rPr>
          <w:rFonts w:hint="eastAsia"/>
          <w:b/>
          <w:sz w:val="24"/>
        </w:rPr>
        <w:t>质量体系：</w:t>
      </w:r>
      <w:r>
        <w:rPr>
          <w:rFonts w:hint="eastAsia"/>
          <w:b/>
          <w:sz w:val="24"/>
          <w:u w:val="single"/>
        </w:rPr>
        <w:t xml:space="preserve">         </w:t>
      </w:r>
      <w:r>
        <w:rPr>
          <w:rFonts w:hint="eastAsia"/>
          <w:b/>
          <w:sz w:val="24"/>
        </w:rPr>
        <w:t>，证书号：</w:t>
      </w:r>
      <w:r>
        <w:rPr>
          <w:rFonts w:hint="eastAsia"/>
          <w:b/>
          <w:sz w:val="24"/>
          <w:u w:val="single"/>
        </w:rPr>
        <w:t xml:space="preserve">              </w:t>
      </w:r>
      <w:r>
        <w:rPr>
          <w:rFonts w:hint="eastAsia"/>
          <w:b/>
          <w:sz w:val="24"/>
        </w:rPr>
        <w:t>；有效期：</w:t>
      </w:r>
      <w:r>
        <w:rPr>
          <w:rFonts w:hint="eastAsia"/>
          <w:b/>
          <w:sz w:val="24"/>
          <w:u w:val="single"/>
        </w:rPr>
        <w:t xml:space="preserve">             </w:t>
      </w:r>
    </w:p>
    <w:p>
      <w:pPr>
        <w:spacing w:before="312" w:beforeLines="100" w:after="312" w:afterLines="100"/>
        <w:rPr>
          <w:b/>
          <w:sz w:val="24"/>
        </w:rPr>
      </w:pPr>
    </w:p>
    <w:p>
      <w:pPr>
        <w:spacing w:before="312" w:beforeLines="100" w:after="312" w:afterLines="100"/>
        <w:rPr>
          <w:b/>
          <w:sz w:val="24"/>
        </w:rPr>
      </w:pPr>
      <w:r>
        <w:rPr>
          <w:rFonts w:hint="eastAsia"/>
          <w:b/>
          <w:sz w:val="24"/>
        </w:rPr>
        <w:t>附：质量体系证书复印件</w:t>
      </w:r>
    </w:p>
    <w:p>
      <w:pPr>
        <w:spacing w:before="312" w:beforeLines="100" w:after="312" w:afterLines="100"/>
        <w:rPr>
          <w:b/>
          <w:sz w:val="24"/>
        </w:rPr>
      </w:pPr>
    </w:p>
    <w:p>
      <w:pPr>
        <w:jc w:val="center"/>
        <w:rPr>
          <w:b/>
          <w:sz w:val="24"/>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FF0000"/>
          <w:sz w:val="24"/>
          <w:szCs w:val="18"/>
        </w:rPr>
        <w:t xml:space="preserve">（荣昌各工厂名称全称） </w:t>
      </w:r>
      <w:r>
        <w:rPr>
          <w:rFonts w:hint="eastAsia" w:asciiTheme="minorEastAsia" w:hAnsiTheme="minorEastAsia"/>
          <w:b/>
          <w:sz w:val="24"/>
          <w:szCs w:val="18"/>
        </w:rPr>
        <w:t xml:space="preserve">            乙 方：</w:t>
      </w:r>
      <w:r>
        <w:rPr>
          <w:rFonts w:hint="eastAsia" w:asciiTheme="minorEastAsia" w:hAnsiTheme="minorEastAsia"/>
          <w:b/>
          <w:color w:val="FF0000"/>
          <w:sz w:val="24"/>
          <w:szCs w:val="18"/>
        </w:rPr>
        <w:t>（供应商名称全称）</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FF0000"/>
          <w:sz w:val="24"/>
          <w:szCs w:val="18"/>
        </w:rPr>
        <w:t>（荣昌各工厂详细地址）</w:t>
      </w:r>
      <w:r>
        <w:rPr>
          <w:rFonts w:hint="eastAsia" w:asciiTheme="minorEastAsia" w:hAnsiTheme="minorEastAsia"/>
          <w:b/>
          <w:sz w:val="24"/>
          <w:szCs w:val="18"/>
        </w:rPr>
        <w:t xml:space="preserve">             地 址：</w:t>
      </w:r>
      <w:r>
        <w:rPr>
          <w:rFonts w:hint="eastAsia" w:asciiTheme="minorEastAsia" w:hAnsiTheme="minorEastAsia"/>
          <w:b/>
          <w:color w:val="FF0000"/>
          <w:sz w:val="24"/>
          <w:szCs w:val="18"/>
        </w:rPr>
        <w:t>（供应商详细地址）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代 表：</w:t>
      </w:r>
      <w:r>
        <w:rPr>
          <w:rFonts w:hint="eastAsia" w:asciiTheme="minorEastAsia" w:hAnsiTheme="minorEastAsia"/>
          <w:b/>
          <w:color w:val="FF0000"/>
          <w:sz w:val="24"/>
          <w:szCs w:val="18"/>
        </w:rPr>
        <w:t>（签字盖合同章）</w:t>
      </w:r>
      <w:r>
        <w:rPr>
          <w:rFonts w:hint="eastAsia" w:asciiTheme="minorEastAsia" w:hAnsiTheme="minorEastAsia"/>
          <w:b/>
          <w:sz w:val="24"/>
          <w:szCs w:val="18"/>
        </w:rPr>
        <w:t xml:space="preserve">                   代 表：</w:t>
      </w:r>
      <w:r>
        <w:rPr>
          <w:rFonts w:hint="eastAsia" w:asciiTheme="minorEastAsia" w:hAnsiTheme="minorEastAsia"/>
          <w:b/>
          <w:color w:val="FF0000"/>
          <w:sz w:val="24"/>
          <w:szCs w:val="18"/>
        </w:rPr>
        <w:t>（签字盖合同章）</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p>
      <w:pPr>
        <w:jc w:val="left"/>
        <w:rPr>
          <w:rFonts w:asciiTheme="minorEastAsia" w:hAnsiTheme="minorEastAsia"/>
          <w:b/>
          <w:sz w:val="22"/>
          <w:szCs w:val="18"/>
        </w:rPr>
      </w:pPr>
    </w:p>
    <w:p>
      <w:pPr>
        <w:jc w:val="center"/>
        <w:rPr>
          <w:b/>
          <w:sz w:val="24"/>
        </w:rPr>
      </w:pPr>
    </w:p>
    <w:sectPr>
      <w:footerReference r:id="rId3" w:type="default"/>
      <w:pgSz w:w="11906" w:h="16838"/>
      <w:pgMar w:top="1440" w:right="1797" w:bottom="1440" w:left="179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2</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OWRlMTE2MDE3MjhjNjExN2Y5YTA1YWNhNDk1ZTUifQ=="/>
  </w:docVars>
  <w:rsids>
    <w:rsidRoot w:val="001E0033"/>
    <w:rsid w:val="00016F81"/>
    <w:rsid w:val="00020084"/>
    <w:rsid w:val="00040A26"/>
    <w:rsid w:val="00042646"/>
    <w:rsid w:val="00045CF3"/>
    <w:rsid w:val="000515F0"/>
    <w:rsid w:val="000611E2"/>
    <w:rsid w:val="00063451"/>
    <w:rsid w:val="00067CE9"/>
    <w:rsid w:val="00083063"/>
    <w:rsid w:val="00086019"/>
    <w:rsid w:val="0009531F"/>
    <w:rsid w:val="000A1C21"/>
    <w:rsid w:val="000B7E03"/>
    <w:rsid w:val="000E0EF8"/>
    <w:rsid w:val="000F5115"/>
    <w:rsid w:val="000F719B"/>
    <w:rsid w:val="001516E6"/>
    <w:rsid w:val="00175D8D"/>
    <w:rsid w:val="00192489"/>
    <w:rsid w:val="00193BF9"/>
    <w:rsid w:val="001B3B19"/>
    <w:rsid w:val="001B7770"/>
    <w:rsid w:val="001C11BF"/>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32F57"/>
    <w:rsid w:val="0034283C"/>
    <w:rsid w:val="00347203"/>
    <w:rsid w:val="003575E2"/>
    <w:rsid w:val="0036017F"/>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621E1"/>
    <w:rsid w:val="00570F6D"/>
    <w:rsid w:val="00573AB2"/>
    <w:rsid w:val="0057427C"/>
    <w:rsid w:val="005953C7"/>
    <w:rsid w:val="005B36D4"/>
    <w:rsid w:val="005D3148"/>
    <w:rsid w:val="005D52A7"/>
    <w:rsid w:val="005D757B"/>
    <w:rsid w:val="006062D3"/>
    <w:rsid w:val="006122F4"/>
    <w:rsid w:val="006150FB"/>
    <w:rsid w:val="0062076B"/>
    <w:rsid w:val="0062178A"/>
    <w:rsid w:val="00622CDF"/>
    <w:rsid w:val="00632857"/>
    <w:rsid w:val="00636338"/>
    <w:rsid w:val="00640B50"/>
    <w:rsid w:val="00642AF2"/>
    <w:rsid w:val="00646192"/>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25691"/>
    <w:rsid w:val="00A355C3"/>
    <w:rsid w:val="00A431B3"/>
    <w:rsid w:val="00A43C4D"/>
    <w:rsid w:val="00A6727F"/>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66"/>
    <w:rsid w:val="00FD7E45"/>
    <w:rsid w:val="00FE5987"/>
    <w:rsid w:val="00FF75A3"/>
    <w:rsid w:val="0211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6053</Words>
  <Characters>6332</Characters>
  <Lines>51</Lines>
  <Paragraphs>14</Paragraphs>
  <TotalTime>422</TotalTime>
  <ScaleCrop>false</ScaleCrop>
  <LinksUpToDate>false</LinksUpToDate>
  <CharactersWithSpaces>6870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梁诗棋</cp:lastModifiedBy>
  <dcterms:modified xsi:type="dcterms:W3CDTF">2023-04-14T05:27:54Z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9C3F66FF0CA147209B463D9F461D35F3_12</vt:lpwstr>
  </property>
</Properties>
</file>