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1143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1143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143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A57E26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114300">
              <w:rPr>
                <w:sz w:val="28"/>
                <w:szCs w:val="28"/>
              </w:rPr>
              <w:t>8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114300">
              <w:rPr>
                <w:sz w:val="28"/>
                <w:szCs w:val="28"/>
              </w:rPr>
              <w:t>30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114300">
              <w:rPr>
                <w:rFonts w:hint="eastAsia"/>
                <w:sz w:val="28"/>
                <w:szCs w:val="28"/>
              </w:rPr>
              <w:t>和赵伟拜访</w:t>
            </w:r>
            <w:r w:rsidR="00F908C1">
              <w:rPr>
                <w:rFonts w:hint="eastAsia"/>
                <w:sz w:val="28"/>
                <w:szCs w:val="28"/>
              </w:rPr>
              <w:t>了采购</w:t>
            </w:r>
            <w:proofErr w:type="gramStart"/>
            <w:r w:rsidR="00F908C1">
              <w:rPr>
                <w:rFonts w:hint="eastAsia"/>
                <w:sz w:val="28"/>
                <w:szCs w:val="28"/>
              </w:rPr>
              <w:t>部质量</w:t>
            </w:r>
            <w:proofErr w:type="gramEnd"/>
            <w:r w:rsidR="00F908C1">
              <w:rPr>
                <w:rFonts w:hint="eastAsia"/>
                <w:sz w:val="28"/>
                <w:szCs w:val="28"/>
              </w:rPr>
              <w:t>副部长王军新，落实减免前下视</w:t>
            </w:r>
            <w:proofErr w:type="gramStart"/>
            <w:r w:rsidR="00F908C1">
              <w:rPr>
                <w:rFonts w:hint="eastAsia"/>
                <w:sz w:val="28"/>
                <w:szCs w:val="28"/>
              </w:rPr>
              <w:t>镜停货</w:t>
            </w:r>
            <w:proofErr w:type="gramEnd"/>
            <w:r w:rsidR="00F908C1">
              <w:rPr>
                <w:rFonts w:hint="eastAsia"/>
                <w:sz w:val="28"/>
                <w:szCs w:val="28"/>
              </w:rPr>
              <w:t>和考核问题。与应用中心王建博士沟通探讨后续座椅规划问题，由于韩飞院长出差没有达到拜访目的。由于海外整车应用整体搬家和王晓东主任家</w:t>
            </w:r>
            <w:r w:rsidR="00F14229">
              <w:rPr>
                <w:rFonts w:hint="eastAsia"/>
                <w:sz w:val="28"/>
                <w:szCs w:val="28"/>
              </w:rPr>
              <w:t>中紧急事宜未达成见面督促海外出口座椅推进事宜，后续我会继续督促和跟进。</w:t>
            </w:r>
          </w:p>
          <w:p w:rsidR="00F14229" w:rsidRDefault="00F14229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</w:p>
          <w:p w:rsidR="00F14229" w:rsidRDefault="00F14229" w:rsidP="00A57E26">
            <w:pPr>
              <w:tabs>
                <w:tab w:val="left" w:pos="5910"/>
              </w:tabs>
              <w:ind w:leftChars="200" w:left="420" w:firstLineChars="200" w:firstLine="56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880174" w:rsidRDefault="00F908C1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以上为此次济南之行的结果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</w:p>
          <w:p w:rsidR="00F14229" w:rsidRDefault="00F14229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F14229" w:rsidRDefault="00F14229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F14229" w:rsidRDefault="00F14229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F14229" w:rsidRPr="00880174" w:rsidRDefault="00F14229" w:rsidP="00016850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F14229">
              <w:rPr>
                <w:sz w:val="28"/>
                <w:szCs w:val="28"/>
              </w:rPr>
              <w:t>9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F14229">
              <w:rPr>
                <w:sz w:val="28"/>
                <w:szCs w:val="28"/>
              </w:rPr>
              <w:t>2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7A" w:rsidRDefault="00C83D7A">
      <w:r>
        <w:separator/>
      </w:r>
    </w:p>
  </w:endnote>
  <w:endnote w:type="continuationSeparator" w:id="0">
    <w:p w:rsidR="00C83D7A" w:rsidRDefault="00C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7A" w:rsidRDefault="00C83D7A">
      <w:r>
        <w:separator/>
      </w:r>
    </w:p>
  </w:footnote>
  <w:footnote w:type="continuationSeparator" w:id="0">
    <w:p w:rsidR="00C83D7A" w:rsidRDefault="00C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00" w:rsidRDefault="0011430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4300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83D7A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14229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8C1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0ED50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24A33-1229-4E07-B541-108DC429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30</cp:revision>
  <cp:lastPrinted>2019-09-23T09:43:00Z</cp:lastPrinted>
  <dcterms:created xsi:type="dcterms:W3CDTF">2020-05-13T09:00:00Z</dcterms:created>
  <dcterms:modified xsi:type="dcterms:W3CDTF">2023-09-04T01:53:00Z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