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出差时间：2023/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1-31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出差天数：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天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出差地点：济南、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2023年销售预算3600万元2023年销售预算3600万元，截止到7月份完成：1075.18万余。预计8月份销售额110万元，预计回款340万元。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豪瀚NX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bo-CN"/>
              </w:rPr>
              <w:t>批量上场，在8月13日-19日在济宁商用车驻点服务及业务交流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bidi="bo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hint="eastAsia" w:cs="Arial"/>
                <w:color w:val="000000"/>
                <w:sz w:val="28"/>
                <w:szCs w:val="28"/>
                <w:lang w:bidi="bo-CN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>对接重汽内部厂项目，重点为气阀。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>重汽座椅拆分件供货事宜。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560" w:leftChars="0" w:firstLine="0" w:firstLineChars="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3.0出口车推进①方案确定②ECE认证。③非ECE国家计划推进。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5B024"/>
    <w:multiLevelType w:val="singleLevel"/>
    <w:tmpl w:val="0375B024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311673A7"/>
    <w:rsid w:val="418A4E08"/>
    <w:rsid w:val="42355E02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61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2023-08-14T05:44:50Z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D3708B2A5B5B48A287B5FD2BAB97E528_12</vt:lpwstr>
  </property>
</Properties>
</file>