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2023年物流装卸配送</w:t>
      </w:r>
      <w:r>
        <w:rPr>
          <w:rFonts w:hint="eastAsia" w:ascii="楷体" w:hAnsi="楷体" w:eastAsia="楷体" w:cs="楷体"/>
          <w:b/>
          <w:sz w:val="36"/>
          <w:szCs w:val="36"/>
          <w:lang w:eastAsia="zh-CN"/>
        </w:rPr>
        <w:t>合同</w:t>
      </w:r>
    </w:p>
    <w:p>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20231001</w:t>
      </w:r>
    </w:p>
    <w:p>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乙方负责卸车区域5S清理</w:t>
      </w:r>
    </w:p>
    <w:p>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pPr>
        <w:numPr>
          <w:ilvl w:val="0"/>
          <w:numId w:val="1"/>
        </w:numPr>
        <w:spacing w:after="0" w:line="360" w:lineRule="auto"/>
        <w:ind w:left="0" w:leftChars="0" w:firstLine="0" w:firstLineChars="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合同费用标准</w:t>
      </w:r>
    </w:p>
    <w:p>
      <w:pPr>
        <w:numPr>
          <w:ilvl w:val="0"/>
          <w:numId w:val="0"/>
        </w:numPr>
        <w:spacing w:after="0" w:line="360" w:lineRule="auto"/>
        <w:ind w:leftChars="0"/>
        <w:rPr>
          <w:rFonts w:hint="eastAsia" w:ascii="楷体" w:hAnsi="楷体" w:eastAsia="楷体" w:cs="楷体"/>
          <w:b/>
          <w:bCs/>
          <w:sz w:val="24"/>
          <w:szCs w:val="32"/>
          <w:lang w:val="en-US" w:eastAsia="zh-CN"/>
        </w:rPr>
      </w:pPr>
    </w:p>
    <w:tbl>
      <w:tblPr>
        <w:tblStyle w:val="6"/>
        <w:tblW w:w="10358"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1"/>
        <w:gridCol w:w="1805"/>
        <w:gridCol w:w="1218"/>
        <w:gridCol w:w="1145"/>
        <w:gridCol w:w="2030"/>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213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KD运输费用标准</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KD库区</w:t>
            </w:r>
          </w:p>
        </w:tc>
        <w:tc>
          <w:tcPr>
            <w:tcW w:w="1218"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1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20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原价/未税（元）</w:t>
            </w:r>
          </w:p>
        </w:tc>
        <w:tc>
          <w:tcPr>
            <w:tcW w:w="20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kern w:val="0"/>
                <w:sz w:val="22"/>
                <w:szCs w:val="22"/>
                <w:u w:val="none"/>
                <w:lang w:val="en-US" w:eastAsia="zh-CN" w:bidi="ar"/>
              </w:rPr>
              <w:t>新价格/未税（元）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3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坊子顺丰物流园</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20</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bookmarkStart w:id="1" w:name="_GoBack"/>
            <w:bookmarkEnd w:id="1"/>
            <w:r>
              <w:rPr>
                <w:rFonts w:hint="eastAsia" w:ascii="楷体" w:hAnsi="楷体" w:eastAsia="楷体" w:cs="楷体"/>
                <w:i w:val="0"/>
                <w:iCs w:val="0"/>
                <w:color w:val="000000"/>
                <w:kern w:val="0"/>
                <w:sz w:val="22"/>
                <w:szCs w:val="22"/>
                <w:u w:val="none"/>
                <w:lang w:val="en-US" w:eastAsia="zh-CN" w:bidi="ar"/>
              </w:rPr>
              <w:t>7.8M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580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rPr>
            </w:pPr>
            <w:r>
              <w:rPr>
                <w:rFonts w:hint="eastAsia" w:ascii="楷体" w:hAnsi="楷体" w:eastAsia="楷体" w:cs="楷体"/>
                <w:i w:val="0"/>
                <w:iCs w:val="0"/>
                <w:color w:val="000000"/>
                <w:sz w:val="22"/>
                <w:szCs w:val="22"/>
                <w:u w:val="none"/>
                <w:lang w:val="en-US" w:eastAsia="zh-CN"/>
              </w:rPr>
              <w:t>520</w:t>
            </w:r>
          </w:p>
        </w:tc>
      </w:tr>
    </w:tbl>
    <w:p>
      <w:pPr>
        <w:numPr>
          <w:ilvl w:val="0"/>
          <w:numId w:val="0"/>
        </w:numPr>
        <w:spacing w:after="0" w:line="360" w:lineRule="auto"/>
        <w:ind w:leftChars="0"/>
        <w:rPr>
          <w:rFonts w:hint="eastAsia" w:ascii="楷体" w:hAnsi="楷体" w:eastAsia="楷体" w:cs="楷体"/>
          <w:b/>
          <w:bCs/>
          <w:sz w:val="24"/>
          <w:szCs w:val="32"/>
          <w:lang w:val="en-US" w:eastAsia="zh-CN"/>
        </w:rPr>
      </w:pP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2041"/>
        <w:gridCol w:w="1415"/>
        <w:gridCol w:w="790"/>
        <w:gridCol w:w="1597"/>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原价/未税/元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lang w:val="en-US"/>
              </w:rPr>
            </w:pPr>
            <w:r>
              <w:rPr>
                <w:rFonts w:hint="eastAsia" w:ascii="楷体" w:hAnsi="楷体" w:eastAsia="楷体" w:cs="楷体"/>
                <w:b/>
                <w:bCs/>
                <w:i w:val="0"/>
                <w:iCs w:val="0"/>
                <w:color w:val="000000"/>
                <w:kern w:val="0"/>
                <w:sz w:val="24"/>
                <w:szCs w:val="24"/>
                <w:u w:val="none"/>
                <w:lang w:val="en-US" w:eastAsia="zh-CN" w:bidi="ar"/>
              </w:rPr>
              <w:t>新价格/未税/元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13M半挂</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发泡</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散装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454.55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13M半挂</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发泡、工装、纸箱</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混装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350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13M半挂</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器具</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272.73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散装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450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9.6M箱货</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发泡、工装、纸箱</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混装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272.73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器具</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6.8M高栏</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散装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363.64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6.8M高栏</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发泡、工装、纸箱</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混装</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250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6.8M高栏</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器具</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181.12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lang w:eastAsia="zh-CN"/>
              </w:rPr>
            </w:pPr>
            <w:r>
              <w:rPr>
                <w:rFonts w:hint="eastAsia" w:ascii="楷体" w:hAnsi="楷体" w:eastAsia="楷体" w:cs="楷体"/>
                <w:b/>
                <w:bCs/>
                <w:i w:val="0"/>
                <w:iCs w:val="0"/>
                <w:color w:val="000000"/>
                <w:sz w:val="24"/>
                <w:szCs w:val="24"/>
                <w:u w:val="none"/>
                <w:lang w:eastAsia="zh-CN"/>
              </w:rPr>
              <w:t>说明</w:t>
            </w:r>
          </w:p>
        </w:tc>
        <w:tc>
          <w:tcPr>
            <w:tcW w:w="91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2"/>
                <w:sz w:val="24"/>
                <w:szCs w:val="24"/>
                <w:u w:val="none"/>
                <w:lang w:val="en-US" w:eastAsia="zh-CN" w:bidi="ar-SA"/>
              </w:rPr>
              <w:t>原价格为2022年10月-2023年7月,8-9月按照增补合同扣除总额的10%费用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新价格为2023年10月-2024年10月，新价格已降幅10%，10月份统计表按新价格统计出的总额开票即可</w:t>
            </w:r>
          </w:p>
        </w:tc>
      </w:tr>
    </w:tbl>
    <w:p>
      <w:pPr>
        <w:numPr>
          <w:ilvl w:val="0"/>
          <w:numId w:val="0"/>
        </w:numPr>
        <w:spacing w:after="0" w:line="360" w:lineRule="auto"/>
        <w:rPr>
          <w:rFonts w:hint="eastAsia" w:ascii="楷体" w:hAnsi="楷体" w:eastAsia="楷体" w:cs="楷体"/>
          <w:b/>
          <w:bCs/>
          <w:sz w:val="24"/>
          <w:szCs w:val="32"/>
          <w:lang w:val="en-US" w:eastAsia="zh-CN"/>
        </w:rPr>
      </w:pPr>
    </w:p>
    <w:p>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结算方式</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乙方按月开具增值税专用发票，税率为3%的物流运输发票</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23</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日止。</w:t>
      </w:r>
    </w:p>
    <w:p>
      <w:pPr>
        <w:pStyle w:val="15"/>
        <w:numPr>
          <w:ilvl w:val="0"/>
          <w:numId w:val="0"/>
        </w:numPr>
        <w:spacing w:after="0" w:line="360" w:lineRule="auto"/>
        <w:ind w:firstLine="960" w:firstLineChars="400"/>
        <w:rPr>
          <w:rFonts w:hint="eastAsia" w:ascii="楷体" w:hAnsi="楷体" w:eastAsia="楷体" w:cs="楷体"/>
          <w:sz w:val="24"/>
          <w:szCs w:val="24"/>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电      话：</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电      话：</w:t>
      </w:r>
    </w:p>
    <w:p>
      <w:pPr>
        <w:spacing w:line="360" w:lineRule="auto"/>
        <w:rPr>
          <w:rFonts w:hint="eastAsia" w:ascii="楷体" w:hAnsi="楷体" w:eastAsia="楷体" w:cs="楷体"/>
          <w:b/>
          <w:bCs/>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法定代表人：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法定代表人：</w:t>
      </w:r>
    </w:p>
    <w:p>
      <w:pPr>
        <w:spacing w:line="360" w:lineRule="auto"/>
        <w:rPr>
          <w:rFonts w:hint="eastAsia" w:ascii="楷体" w:hAnsi="楷体" w:eastAsia="楷体" w:cs="楷体"/>
          <w:b/>
          <w:bCs/>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pPr>
        <w:spacing w:line="360" w:lineRule="auto"/>
        <w:rPr>
          <w:rFonts w:hint="eastAsia" w:ascii="楷体" w:hAnsi="楷体" w:eastAsia="楷体" w:cs="楷体"/>
          <w:b/>
          <w:bCs/>
          <w:sz w:val="24"/>
          <w:szCs w:val="24"/>
        </w:rPr>
      </w:pPr>
    </w:p>
    <w:p>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3</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 10</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1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4</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10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1  </w:t>
      </w:r>
      <w:r>
        <w:rPr>
          <w:rFonts w:hint="eastAsia" w:ascii="楷体" w:hAnsi="楷体" w:eastAsia="楷体" w:cs="楷体"/>
          <w:sz w:val="24"/>
          <w:szCs w:val="24"/>
        </w:rPr>
        <w:t>日</w:t>
      </w:r>
    </w:p>
    <w:p>
      <w:pPr>
        <w:widowControl/>
        <w:spacing w:line="360" w:lineRule="auto"/>
        <w:rPr>
          <w:rFonts w:hint="eastAsia" w:ascii="楷体" w:hAnsi="楷体" w:eastAsia="楷体" w:cs="楷体"/>
          <w:color w:val="000000"/>
          <w:kern w:val="0"/>
          <w:sz w:val="24"/>
          <w:szCs w:val="24"/>
        </w:rPr>
      </w:pPr>
    </w:p>
    <w:p>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121E3DC1"/>
    <w:rsid w:val="17746544"/>
    <w:rsid w:val="1A3A2F9C"/>
    <w:rsid w:val="1B572444"/>
    <w:rsid w:val="1D2961E3"/>
    <w:rsid w:val="239436FF"/>
    <w:rsid w:val="2BDD2D89"/>
    <w:rsid w:val="38E05844"/>
    <w:rsid w:val="3A89420B"/>
    <w:rsid w:val="3E051695"/>
    <w:rsid w:val="487369AB"/>
    <w:rsid w:val="627B684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958</Characters>
  <Lines>7</Lines>
  <Paragraphs>2</Paragraphs>
  <TotalTime>143</TotalTime>
  <ScaleCrop>false</ScaleCrop>
  <LinksUpToDate>false</LinksUpToDate>
  <CharactersWithSpaces>1124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2023-10-10T08:25:37Z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89EBA407D5EF41BDAA5D4181A5D797E6_12</vt:lpwstr>
  </property>
</Properties>
</file>