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w:t>
      </w:r>
      <w:r w:rsidR="0022524A">
        <w:rPr>
          <w:rFonts w:ascii="黑体" w:eastAsia="黑体" w:hAnsi="黑体" w:hint="eastAsia"/>
          <w:sz w:val="32"/>
          <w:szCs w:val="32"/>
        </w:rPr>
        <w:t>维修</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5905C3">
        <w:rPr>
          <w:rFonts w:ascii="仿宋" w:eastAsia="仿宋" w:hAnsi="仿宋" w:hint="eastAsia"/>
          <w:sz w:val="24"/>
          <w:szCs w:val="24"/>
        </w:rPr>
        <w:t>B</w:t>
      </w:r>
      <w:r w:rsidR="005905C3">
        <w:rPr>
          <w:rFonts w:ascii="仿宋" w:eastAsia="仿宋" w:hAnsi="仿宋"/>
          <w:sz w:val="24"/>
          <w:szCs w:val="24"/>
        </w:rPr>
        <w:t>JGHRCHT</w:t>
      </w:r>
      <w:r w:rsidR="005905C3" w:rsidRPr="005905C3">
        <w:rPr>
          <w:rFonts w:ascii="仿宋" w:eastAsia="仿宋" w:hAnsi="仿宋"/>
          <w:sz w:val="24"/>
          <w:szCs w:val="24"/>
        </w:rPr>
        <w:t>20230369</w:t>
      </w:r>
      <w:r w:rsidRPr="00C64A64">
        <w:rPr>
          <w:rFonts w:ascii="仿宋" w:eastAsia="仿宋" w:hAnsi="仿宋" w:hint="eastAsia"/>
          <w:sz w:val="24"/>
          <w:szCs w:val="24"/>
        </w:rPr>
        <w:t xml:space="preserve"> </w:t>
      </w:r>
    </w:p>
    <w:p w:rsidR="00317846" w:rsidRPr="004435A0" w:rsidRDefault="005905C3" w:rsidP="004F480F">
      <w:pPr>
        <w:spacing w:line="360" w:lineRule="auto"/>
        <w:rPr>
          <w:rFonts w:ascii="仿宋" w:eastAsia="仿宋" w:hAnsi="仿宋"/>
          <w:b/>
          <w:sz w:val="24"/>
          <w:szCs w:val="24"/>
        </w:rPr>
      </w:pPr>
      <w:r>
        <w:rPr>
          <w:rFonts w:ascii="仿宋" w:eastAsia="仿宋" w:hAnsi="仿宋" w:hint="eastAsia"/>
          <w:b/>
          <w:sz w:val="24"/>
          <w:szCs w:val="24"/>
        </w:rPr>
        <w:t>委托方：北京</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5905C3" w:rsidRPr="005905C3">
        <w:rPr>
          <w:rFonts w:ascii="仿宋" w:eastAsia="仿宋" w:hAnsi="仿宋" w:cs="Arial"/>
          <w:b/>
          <w:sz w:val="24"/>
          <w:szCs w:val="24"/>
          <w:shd w:val="clear" w:color="auto" w:fill="FFFFFF"/>
        </w:rPr>
        <w:t>91110114801184540U</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5905C3" w:rsidRPr="005905C3">
        <w:rPr>
          <w:rFonts w:ascii="仿宋" w:eastAsia="仿宋" w:hAnsi="仿宋" w:hint="eastAsia"/>
          <w:b/>
          <w:sz w:val="24"/>
          <w:szCs w:val="24"/>
        </w:rPr>
        <w:t>南皮县恩杰五金制造有限公司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5905C3" w:rsidRPr="005905C3">
        <w:rPr>
          <w:rFonts w:ascii="仿宋" w:eastAsia="仿宋" w:hAnsi="仿宋" w:cs="Arial"/>
          <w:b/>
          <w:sz w:val="24"/>
          <w:szCs w:val="24"/>
          <w:shd w:val="clear" w:color="auto" w:fill="FFFFFF"/>
        </w:rPr>
        <w:t>91130927563239525C</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41"/>
        <w:gridCol w:w="2712"/>
        <w:gridCol w:w="850"/>
        <w:gridCol w:w="1134"/>
        <w:gridCol w:w="1134"/>
        <w:gridCol w:w="1134"/>
        <w:gridCol w:w="647"/>
      </w:tblGrid>
      <w:tr w:rsidR="00D42021" w:rsidRPr="00C64A64" w:rsidTr="00D42021">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2021" w:rsidRDefault="00D42021" w:rsidP="00D42021">
            <w:pPr>
              <w:widowControl/>
              <w:jc w:val="center"/>
              <w:rPr>
                <w:rFonts w:ascii="仿宋" w:eastAsia="仿宋" w:hAnsi="仿宋"/>
                <w:color w:val="000000"/>
                <w:kern w:val="0"/>
                <w:szCs w:val="21"/>
              </w:rPr>
            </w:pPr>
            <w:r>
              <w:rPr>
                <w:rFonts w:ascii="仿宋" w:eastAsia="仿宋" w:hAnsi="仿宋" w:hint="eastAsia"/>
                <w:color w:val="000000"/>
                <w:szCs w:val="21"/>
              </w:rPr>
              <w:t>序号</w:t>
            </w:r>
          </w:p>
        </w:tc>
        <w:tc>
          <w:tcPr>
            <w:tcW w:w="1541"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模具编号</w:t>
            </w:r>
          </w:p>
        </w:tc>
        <w:tc>
          <w:tcPr>
            <w:tcW w:w="2712"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模具名称</w:t>
            </w:r>
          </w:p>
        </w:tc>
        <w:tc>
          <w:tcPr>
            <w:tcW w:w="850"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未税价格</w:t>
            </w:r>
          </w:p>
        </w:tc>
        <w:tc>
          <w:tcPr>
            <w:tcW w:w="1134"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含税价格</w:t>
            </w:r>
          </w:p>
        </w:tc>
        <w:tc>
          <w:tcPr>
            <w:tcW w:w="647"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备注</w:t>
            </w:r>
          </w:p>
        </w:tc>
      </w:tr>
      <w:tr w:rsidR="00D42021" w:rsidRPr="00C64A64" w:rsidTr="00D42021">
        <w:trPr>
          <w:trHeight w:val="364"/>
        </w:trPr>
        <w:tc>
          <w:tcPr>
            <w:tcW w:w="709" w:type="dxa"/>
            <w:tcBorders>
              <w:top w:val="nil"/>
              <w:left w:val="single" w:sz="4" w:space="0" w:color="auto"/>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1</w:t>
            </w:r>
          </w:p>
        </w:tc>
        <w:tc>
          <w:tcPr>
            <w:tcW w:w="1541"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SHT0015280</w:t>
            </w:r>
          </w:p>
        </w:tc>
        <w:tc>
          <w:tcPr>
            <w:tcW w:w="2712"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hint="eastAsia"/>
                <w:sz w:val="20"/>
              </w:rPr>
            </w:pPr>
            <w:r>
              <w:rPr>
                <w:rFonts w:hint="eastAsia"/>
                <w:sz w:val="20"/>
              </w:rPr>
              <w:t>安全带卷收器固定钣金</w:t>
            </w:r>
            <w:r>
              <w:rPr>
                <w:rFonts w:hint="eastAsia"/>
                <w:sz w:val="20"/>
              </w:rPr>
              <w:t>-</w:t>
            </w:r>
            <w:r>
              <w:rPr>
                <w:rFonts w:hint="eastAsia"/>
                <w:sz w:val="20"/>
              </w:rPr>
              <w:t>冲孔</w:t>
            </w:r>
          </w:p>
        </w:tc>
        <w:tc>
          <w:tcPr>
            <w:tcW w:w="850"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2345.13 </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304.87</w:t>
            </w:r>
          </w:p>
        </w:tc>
        <w:tc>
          <w:tcPr>
            <w:tcW w:w="1134"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2650</w:t>
            </w:r>
          </w:p>
        </w:tc>
        <w:tc>
          <w:tcPr>
            <w:tcW w:w="647"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42021" w:rsidRPr="00C64A64" w:rsidTr="00D42021">
        <w:trPr>
          <w:trHeight w:val="364"/>
        </w:trPr>
        <w:tc>
          <w:tcPr>
            <w:tcW w:w="709" w:type="dxa"/>
            <w:tcBorders>
              <w:top w:val="nil"/>
              <w:left w:val="single" w:sz="4" w:space="0" w:color="auto"/>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2</w:t>
            </w:r>
          </w:p>
        </w:tc>
        <w:tc>
          <w:tcPr>
            <w:tcW w:w="1541"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SHT0015288</w:t>
            </w:r>
          </w:p>
        </w:tc>
        <w:tc>
          <w:tcPr>
            <w:tcW w:w="2712"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hint="eastAsia"/>
                <w:sz w:val="20"/>
              </w:rPr>
            </w:pPr>
            <w:r>
              <w:rPr>
                <w:rFonts w:hint="eastAsia"/>
                <w:sz w:val="20"/>
              </w:rPr>
              <w:t>高配前支撑钣金</w:t>
            </w:r>
            <w:r>
              <w:rPr>
                <w:rFonts w:hint="eastAsia"/>
                <w:sz w:val="20"/>
              </w:rPr>
              <w:t>-</w:t>
            </w:r>
            <w:r>
              <w:rPr>
                <w:rFonts w:hint="eastAsia"/>
                <w:sz w:val="20"/>
              </w:rPr>
              <w:t>冲孔</w:t>
            </w:r>
          </w:p>
        </w:tc>
        <w:tc>
          <w:tcPr>
            <w:tcW w:w="850"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1902.65 </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247.35</w:t>
            </w:r>
          </w:p>
        </w:tc>
        <w:tc>
          <w:tcPr>
            <w:tcW w:w="1134"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2150</w:t>
            </w:r>
          </w:p>
        </w:tc>
        <w:tc>
          <w:tcPr>
            <w:tcW w:w="647"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42021" w:rsidRPr="00C64A64" w:rsidTr="00D42021">
        <w:trPr>
          <w:trHeight w:val="364"/>
        </w:trPr>
        <w:tc>
          <w:tcPr>
            <w:tcW w:w="709" w:type="dxa"/>
            <w:tcBorders>
              <w:top w:val="nil"/>
              <w:left w:val="single" w:sz="4" w:space="0" w:color="auto"/>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3</w:t>
            </w:r>
          </w:p>
        </w:tc>
        <w:tc>
          <w:tcPr>
            <w:tcW w:w="1541"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SHT0015286</w:t>
            </w:r>
          </w:p>
        </w:tc>
        <w:tc>
          <w:tcPr>
            <w:tcW w:w="2712"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hint="eastAsia"/>
                <w:sz w:val="20"/>
              </w:rPr>
            </w:pPr>
            <w:r>
              <w:rPr>
                <w:rFonts w:hint="eastAsia"/>
                <w:sz w:val="20"/>
              </w:rPr>
              <w:t>标配后支撑钣金</w:t>
            </w:r>
            <w:r>
              <w:rPr>
                <w:rFonts w:hint="eastAsia"/>
                <w:sz w:val="20"/>
              </w:rPr>
              <w:t>-</w:t>
            </w:r>
            <w:r>
              <w:rPr>
                <w:rFonts w:hint="eastAsia"/>
                <w:sz w:val="20"/>
              </w:rPr>
              <w:t>冲孔</w:t>
            </w:r>
          </w:p>
        </w:tc>
        <w:tc>
          <w:tcPr>
            <w:tcW w:w="850"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2522.12 </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327.88</w:t>
            </w:r>
          </w:p>
        </w:tc>
        <w:tc>
          <w:tcPr>
            <w:tcW w:w="1134"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2850</w:t>
            </w:r>
          </w:p>
        </w:tc>
        <w:tc>
          <w:tcPr>
            <w:tcW w:w="647"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42021" w:rsidRPr="00C64A64" w:rsidTr="00D42021">
        <w:trPr>
          <w:trHeight w:val="364"/>
        </w:trPr>
        <w:tc>
          <w:tcPr>
            <w:tcW w:w="709" w:type="dxa"/>
            <w:tcBorders>
              <w:top w:val="nil"/>
              <w:left w:val="single" w:sz="4" w:space="0" w:color="auto"/>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4</w:t>
            </w:r>
          </w:p>
        </w:tc>
        <w:tc>
          <w:tcPr>
            <w:tcW w:w="1541"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SHT0015290</w:t>
            </w:r>
          </w:p>
        </w:tc>
        <w:tc>
          <w:tcPr>
            <w:tcW w:w="2712"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hint="eastAsia"/>
                <w:sz w:val="20"/>
              </w:rPr>
            </w:pPr>
            <w:r>
              <w:rPr>
                <w:rFonts w:hint="eastAsia"/>
                <w:sz w:val="20"/>
              </w:rPr>
              <w:t>高配后支撑钣金</w:t>
            </w:r>
            <w:r>
              <w:rPr>
                <w:rFonts w:hint="eastAsia"/>
                <w:sz w:val="20"/>
              </w:rPr>
              <w:t>-</w:t>
            </w:r>
            <w:r>
              <w:rPr>
                <w:rFonts w:hint="eastAsia"/>
                <w:sz w:val="20"/>
              </w:rPr>
              <w:t>冲孔</w:t>
            </w:r>
          </w:p>
        </w:tc>
        <w:tc>
          <w:tcPr>
            <w:tcW w:w="850"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1902.65 </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247.35</w:t>
            </w:r>
          </w:p>
        </w:tc>
        <w:tc>
          <w:tcPr>
            <w:tcW w:w="1134"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2150</w:t>
            </w:r>
          </w:p>
        </w:tc>
        <w:tc>
          <w:tcPr>
            <w:tcW w:w="647"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42021" w:rsidRPr="00C64A64" w:rsidTr="00D42021">
        <w:trPr>
          <w:trHeight w:val="364"/>
        </w:trPr>
        <w:tc>
          <w:tcPr>
            <w:tcW w:w="709" w:type="dxa"/>
            <w:tcBorders>
              <w:top w:val="nil"/>
              <w:left w:val="single" w:sz="4" w:space="0" w:color="auto"/>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5</w:t>
            </w:r>
          </w:p>
        </w:tc>
        <w:tc>
          <w:tcPr>
            <w:tcW w:w="1541"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SHT0015281+SHT0015282-C</w:t>
            </w:r>
          </w:p>
        </w:tc>
        <w:tc>
          <w:tcPr>
            <w:tcW w:w="2712"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hint="eastAsia"/>
                <w:sz w:val="20"/>
              </w:rPr>
            </w:pPr>
            <w:r>
              <w:rPr>
                <w:rFonts w:hint="eastAsia"/>
                <w:sz w:val="20"/>
              </w:rPr>
              <w:t>左</w:t>
            </w:r>
            <w:r>
              <w:rPr>
                <w:rFonts w:hint="eastAsia"/>
                <w:sz w:val="20"/>
              </w:rPr>
              <w:t>/</w:t>
            </w:r>
            <w:r>
              <w:rPr>
                <w:rFonts w:hint="eastAsia"/>
                <w:sz w:val="20"/>
              </w:rPr>
              <w:t>右前脚架</w:t>
            </w:r>
            <w:r>
              <w:rPr>
                <w:rFonts w:hint="eastAsia"/>
                <w:sz w:val="20"/>
              </w:rPr>
              <w:t>-</w:t>
            </w:r>
            <w:r>
              <w:rPr>
                <w:rFonts w:hint="eastAsia"/>
                <w:sz w:val="20"/>
              </w:rPr>
              <w:t>成型</w:t>
            </w:r>
          </w:p>
        </w:tc>
        <w:tc>
          <w:tcPr>
            <w:tcW w:w="850"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1017.70 </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132.30</w:t>
            </w:r>
          </w:p>
        </w:tc>
        <w:tc>
          <w:tcPr>
            <w:tcW w:w="1134"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1150</w:t>
            </w:r>
          </w:p>
        </w:tc>
        <w:tc>
          <w:tcPr>
            <w:tcW w:w="647"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42021" w:rsidRPr="00C64A64" w:rsidTr="00D42021">
        <w:trPr>
          <w:trHeight w:val="364"/>
        </w:trPr>
        <w:tc>
          <w:tcPr>
            <w:tcW w:w="709" w:type="dxa"/>
            <w:tcBorders>
              <w:top w:val="nil"/>
              <w:left w:val="single" w:sz="4" w:space="0" w:color="auto"/>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6</w:t>
            </w:r>
          </w:p>
        </w:tc>
        <w:tc>
          <w:tcPr>
            <w:tcW w:w="1541"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SHT0015280</w:t>
            </w:r>
          </w:p>
        </w:tc>
        <w:tc>
          <w:tcPr>
            <w:tcW w:w="2712"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hint="eastAsia"/>
                <w:sz w:val="20"/>
              </w:rPr>
            </w:pPr>
            <w:r>
              <w:rPr>
                <w:rFonts w:hint="eastAsia"/>
                <w:sz w:val="20"/>
              </w:rPr>
              <w:t>安全带卷收器固定钣金</w:t>
            </w:r>
            <w:r>
              <w:rPr>
                <w:rFonts w:hint="eastAsia"/>
                <w:sz w:val="20"/>
              </w:rPr>
              <w:t>-</w:t>
            </w:r>
            <w:r>
              <w:rPr>
                <w:rFonts w:hint="eastAsia"/>
                <w:sz w:val="20"/>
              </w:rPr>
              <w:t>成型</w:t>
            </w:r>
          </w:p>
        </w:tc>
        <w:tc>
          <w:tcPr>
            <w:tcW w:w="850"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929.20 </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120.80</w:t>
            </w:r>
          </w:p>
        </w:tc>
        <w:tc>
          <w:tcPr>
            <w:tcW w:w="1134" w:type="dxa"/>
            <w:tcBorders>
              <w:top w:val="nil"/>
              <w:left w:val="nil"/>
              <w:bottom w:val="single" w:sz="4" w:space="0" w:color="auto"/>
              <w:right w:val="single" w:sz="4" w:space="0" w:color="auto"/>
            </w:tcBorders>
            <w:shd w:val="clear" w:color="000000" w:fill="FFFFFF"/>
            <w:vAlign w:val="center"/>
          </w:tcPr>
          <w:p w:rsidR="00D42021" w:rsidRDefault="00D42021" w:rsidP="00D42021">
            <w:pPr>
              <w:jc w:val="center"/>
              <w:rPr>
                <w:rFonts w:ascii="宋体" w:hAnsi="宋体" w:hint="eastAsia"/>
                <w:sz w:val="20"/>
              </w:rPr>
            </w:pPr>
            <w:r>
              <w:rPr>
                <w:rFonts w:hint="eastAsia"/>
                <w:sz w:val="20"/>
              </w:rPr>
              <w:t>1050</w:t>
            </w:r>
          </w:p>
        </w:tc>
        <w:tc>
          <w:tcPr>
            <w:tcW w:w="647"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42021" w:rsidRPr="00C64A64" w:rsidTr="00D42021">
        <w:trPr>
          <w:trHeight w:val="364"/>
        </w:trPr>
        <w:tc>
          <w:tcPr>
            <w:tcW w:w="709" w:type="dxa"/>
            <w:tcBorders>
              <w:top w:val="nil"/>
              <w:left w:val="single" w:sz="4" w:space="0" w:color="auto"/>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b/>
                <w:bCs/>
                <w:color w:val="000000"/>
                <w:szCs w:val="21"/>
              </w:rPr>
            </w:pPr>
            <w:r>
              <w:rPr>
                <w:rFonts w:ascii="仿宋" w:eastAsia="仿宋" w:hAnsi="仿宋" w:hint="eastAsia"/>
                <w:b/>
                <w:bCs/>
                <w:color w:val="000000"/>
                <w:szCs w:val="21"/>
              </w:rPr>
              <w:t>合计</w:t>
            </w:r>
          </w:p>
        </w:tc>
        <w:tc>
          <w:tcPr>
            <w:tcW w:w="1541"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c>
          <w:tcPr>
            <w:tcW w:w="2712"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12000</w:t>
            </w:r>
          </w:p>
        </w:tc>
        <w:tc>
          <w:tcPr>
            <w:tcW w:w="647"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hint="eastAsia"/>
                <w:color w:val="000000"/>
                <w:szCs w:val="21"/>
              </w:rPr>
            </w:pPr>
            <w:r>
              <w:rPr>
                <w:rFonts w:ascii="仿宋" w:eastAsia="仿宋" w:hAnsi="仿宋" w:hint="eastAsia"/>
                <w:color w:val="000000"/>
                <w:szCs w:val="21"/>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D42021">
        <w:rPr>
          <w:rFonts w:ascii="仿宋" w:eastAsia="仿宋" w:hAnsi="仿宋" w:cs="宋体"/>
          <w:b/>
          <w:bCs/>
          <w:color w:val="000000"/>
          <w:kern w:val="0"/>
          <w:sz w:val="24"/>
          <w:u w:val="single"/>
        </w:rPr>
        <w:t>12000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D42021">
        <w:rPr>
          <w:rFonts w:ascii="仿宋" w:eastAsia="仿宋" w:hAnsi="仿宋" w:cs="宋体" w:hint="eastAsia"/>
          <w:b/>
          <w:bCs/>
          <w:color w:val="000000"/>
          <w:kern w:val="0"/>
          <w:sz w:val="24"/>
          <w:u w:val="single"/>
        </w:rPr>
        <w:t>壹万贰仟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D42021">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w:t>
      </w:r>
      <w:r w:rsidR="00766863">
        <w:rPr>
          <w:rFonts w:ascii="仿宋" w:eastAsia="仿宋" w:hAnsi="仿宋" w:cs="宋体" w:hint="eastAsia"/>
          <w:bCs/>
          <w:kern w:val="0"/>
          <w:sz w:val="24"/>
          <w:szCs w:val="24"/>
        </w:rPr>
        <w:t>（合同总价款需扣减5</w:t>
      </w:r>
      <w:r w:rsidR="00766863">
        <w:rPr>
          <w:rFonts w:ascii="仿宋" w:eastAsia="仿宋" w:hAnsi="仿宋" w:cs="宋体"/>
          <w:bCs/>
          <w:kern w:val="0"/>
          <w:sz w:val="24"/>
          <w:szCs w:val="24"/>
        </w:rPr>
        <w:t>%</w:t>
      </w:r>
      <w:r w:rsidR="0076686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0A105D" w:rsidRPr="00E30C30" w:rsidRDefault="00D42021" w:rsidP="0035698A">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模具验收合格后，甲方3</w:t>
      </w:r>
      <w:r>
        <w:rPr>
          <w:rFonts w:ascii="仿宋" w:eastAsia="仿宋" w:hAnsi="仿宋"/>
          <w:sz w:val="24"/>
          <w:szCs w:val="24"/>
        </w:rPr>
        <w:t>0</w:t>
      </w:r>
      <w:r>
        <w:rPr>
          <w:rFonts w:ascii="仿宋" w:eastAsia="仿宋" w:hAnsi="仿宋" w:hint="eastAsia"/>
          <w:sz w:val="24"/>
          <w:szCs w:val="24"/>
        </w:rPr>
        <w:t>天内支付合同总金额</w:t>
      </w:r>
      <w:r w:rsidR="000A105D" w:rsidRPr="00E30C30">
        <w:rPr>
          <w:rFonts w:ascii="仿宋" w:eastAsia="仿宋" w:hAnsi="仿宋" w:hint="eastAsia"/>
          <w:sz w:val="24"/>
          <w:szCs w:val="24"/>
        </w:rPr>
        <w:t>，</w:t>
      </w:r>
      <w:r w:rsidR="000A105D" w:rsidRPr="00C64A64">
        <w:rPr>
          <w:rFonts w:ascii="仿宋" w:eastAsia="仿宋" w:hAnsi="仿宋" w:hint="eastAsia"/>
          <w:sz w:val="24"/>
          <w:szCs w:val="24"/>
        </w:rPr>
        <w:t>计：</w:t>
      </w:r>
      <w:bookmarkStart w:id="0" w:name="_Hlk104922868"/>
      <w:r w:rsidR="000A105D">
        <w:rPr>
          <w:rFonts w:ascii="仿宋" w:eastAsia="仿宋" w:hAnsi="仿宋" w:hint="eastAsia"/>
          <w:sz w:val="24"/>
          <w:szCs w:val="24"/>
          <w:u w:val="single"/>
        </w:rPr>
        <w:t xml:space="preserve"> </w:t>
      </w:r>
      <w:r>
        <w:rPr>
          <w:rFonts w:ascii="仿宋" w:eastAsia="仿宋" w:hAnsi="仿宋"/>
          <w:sz w:val="24"/>
          <w:szCs w:val="24"/>
          <w:u w:val="single"/>
        </w:rPr>
        <w:t>12000</w:t>
      </w:r>
      <w:r w:rsidR="000A105D" w:rsidRPr="00F71FEA">
        <w:rPr>
          <w:rFonts w:ascii="仿宋" w:eastAsia="仿宋" w:hAnsi="仿宋" w:hint="eastAsia"/>
          <w:sz w:val="24"/>
          <w:szCs w:val="24"/>
        </w:rPr>
        <w:t>元</w:t>
      </w:r>
      <w:r w:rsidR="000A105D">
        <w:rPr>
          <w:rFonts w:ascii="仿宋" w:eastAsia="仿宋" w:hAnsi="仿宋" w:hint="eastAsia"/>
          <w:sz w:val="24"/>
          <w:szCs w:val="24"/>
        </w:rPr>
        <w:t>，</w:t>
      </w:r>
      <w:r w:rsidR="000A105D" w:rsidRPr="00C64A64">
        <w:rPr>
          <w:rFonts w:ascii="仿宋" w:eastAsia="仿宋" w:hAnsi="仿宋" w:hint="eastAsia"/>
          <w:sz w:val="24"/>
          <w:szCs w:val="24"/>
        </w:rPr>
        <w:t>人民币</w:t>
      </w:r>
      <w:r>
        <w:rPr>
          <w:rFonts w:ascii="仿宋" w:eastAsia="仿宋" w:hAnsi="仿宋" w:hint="eastAsia"/>
          <w:sz w:val="24"/>
          <w:szCs w:val="24"/>
        </w:rPr>
        <w:t>壹万贰仟</w:t>
      </w:r>
      <w:r w:rsidR="000A105D" w:rsidRPr="00F71FEA">
        <w:rPr>
          <w:rFonts w:ascii="仿宋" w:eastAsia="仿宋" w:hAnsi="仿宋" w:hint="eastAsia"/>
          <w:sz w:val="24"/>
          <w:szCs w:val="24"/>
        </w:rPr>
        <w:t>圆</w:t>
      </w:r>
      <w:r w:rsidR="000A105D">
        <w:rPr>
          <w:rFonts w:ascii="仿宋" w:eastAsia="仿宋" w:hAnsi="仿宋" w:hint="eastAsia"/>
          <w:sz w:val="24"/>
          <w:szCs w:val="24"/>
        </w:rPr>
        <w:t>整</w:t>
      </w:r>
      <w:bookmarkEnd w:id="0"/>
      <w:r w:rsidR="000A105D"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D42021">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xml:space="preserve">【 </w:t>
      </w:r>
      <w:r w:rsidR="00D42021">
        <w:rPr>
          <w:rFonts w:ascii="仿宋" w:eastAsia="仿宋" w:hAnsi="仿宋"/>
          <w:sz w:val="24"/>
          <w:szCs w:val="24"/>
        </w:rPr>
        <w:t>30</w:t>
      </w:r>
      <w:r w:rsidR="00A962F2">
        <w:rPr>
          <w:rFonts w:ascii="仿宋" w:eastAsia="仿宋" w:hAnsi="仿宋" w:hint="eastAsia"/>
          <w:sz w:val="24"/>
          <w:szCs w:val="24"/>
        </w:rPr>
        <w:t xml:space="preserve"> 】</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D42021">
        <w:rPr>
          <w:rFonts w:ascii="仿宋" w:eastAsia="仿宋" w:hAnsi="仿宋"/>
          <w:sz w:val="24"/>
          <w:szCs w:val="24"/>
        </w:rPr>
        <w:t>30</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D42021">
        <w:rPr>
          <w:rFonts w:ascii="仿宋" w:eastAsia="仿宋" w:hAnsi="仿宋"/>
          <w:sz w:val="24"/>
          <w:szCs w:val="24"/>
          <w:u w:val="single"/>
        </w:rPr>
        <w:t>2023</w:t>
      </w:r>
      <w:r w:rsidR="00317846" w:rsidRPr="00C64A64">
        <w:rPr>
          <w:rFonts w:ascii="仿宋" w:eastAsia="仿宋" w:hAnsi="仿宋" w:hint="eastAsia"/>
          <w:sz w:val="24"/>
          <w:szCs w:val="24"/>
        </w:rPr>
        <w:t>年</w:t>
      </w:r>
      <w:r w:rsidR="00D42021">
        <w:rPr>
          <w:rFonts w:ascii="仿宋" w:eastAsia="仿宋" w:hAnsi="仿宋"/>
          <w:sz w:val="24"/>
          <w:szCs w:val="24"/>
          <w:u w:val="single"/>
        </w:rPr>
        <w:t>11</w:t>
      </w:r>
      <w:r w:rsidR="00317846" w:rsidRPr="00C64A64">
        <w:rPr>
          <w:rFonts w:ascii="仿宋" w:eastAsia="仿宋" w:hAnsi="仿宋" w:hint="eastAsia"/>
          <w:sz w:val="24"/>
          <w:szCs w:val="24"/>
        </w:rPr>
        <w:t>月</w:t>
      </w:r>
      <w:r w:rsidR="00D42021">
        <w:rPr>
          <w:rFonts w:ascii="仿宋" w:eastAsia="仿宋" w:hAnsi="仿宋"/>
          <w:sz w:val="24"/>
          <w:szCs w:val="24"/>
          <w:u w:val="single"/>
        </w:rPr>
        <w:t>20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w:t>
      </w:r>
      <w:r w:rsidR="00D42021">
        <w:rPr>
          <w:rFonts w:ascii="仿宋" w:eastAsia="仿宋" w:hAnsi="仿宋" w:hint="eastAsia"/>
          <w:sz w:val="24"/>
          <w:szCs w:val="24"/>
        </w:rPr>
        <w:t>2</w:t>
      </w:r>
      <w:r w:rsidR="00D42021">
        <w:rPr>
          <w:rFonts w:ascii="仿宋" w:eastAsia="仿宋" w:hAnsi="仿宋"/>
          <w:sz w:val="24"/>
          <w:szCs w:val="24"/>
        </w:rPr>
        <w:t>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sidR="00D42021">
        <w:rPr>
          <w:rFonts w:ascii="仿宋" w:eastAsia="仿宋" w:hAnsi="仿宋"/>
          <w:sz w:val="24"/>
          <w:szCs w:val="24"/>
        </w:rPr>
        <w:t>5000</w:t>
      </w:r>
      <w:r w:rsidR="00A962F2">
        <w:rPr>
          <w:rFonts w:ascii="仿宋" w:eastAsia="仿宋" w:hAnsi="仿宋" w:hint="eastAsia"/>
          <w:sz w:val="24"/>
          <w:szCs w:val="24"/>
        </w:rPr>
        <w:t xml:space="preserve">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bookmarkStart w:id="1" w:name="_GoBack"/>
      <w:bookmarkEnd w:id="1"/>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w:t>
      </w:r>
      <w:r w:rsidR="005905C3">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乙方:</w:t>
      </w:r>
      <w:r w:rsidR="005905C3" w:rsidRPr="005905C3">
        <w:rPr>
          <w:rFonts w:ascii="仿宋" w:eastAsia="仿宋" w:hAnsi="仿宋" w:hint="eastAsia"/>
          <w:b/>
          <w:sz w:val="24"/>
          <w:szCs w:val="24"/>
        </w:rPr>
        <w:t xml:space="preserve"> 南皮县恩杰五金制造有限公司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EAA" w:rsidRDefault="00716EAA">
      <w:r>
        <w:separator/>
      </w:r>
    </w:p>
  </w:endnote>
  <w:endnote w:type="continuationSeparator" w:id="0">
    <w:p w:rsidR="00716EAA" w:rsidRDefault="0071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24A" w:rsidRDefault="0022524A">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22524A" w:rsidRDefault="0022524A">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22524A" w:rsidRDefault="0022524A">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D4202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42021">
              <w:rPr>
                <w:b/>
                <w:noProof/>
              </w:rPr>
              <w:t>6</w:t>
            </w:r>
            <w:r>
              <w:rPr>
                <w:b/>
                <w:sz w:val="24"/>
                <w:szCs w:val="24"/>
              </w:rPr>
              <w:fldChar w:fldCharType="end"/>
            </w:r>
          </w:p>
        </w:sdtContent>
      </w:sdt>
    </w:sdtContent>
  </w:sdt>
  <w:p w:rsidR="0022524A" w:rsidRDefault="0022524A">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24A" w:rsidRDefault="0022524A">
    <w:pPr>
      <w:pStyle w:val="ae"/>
      <w:jc w:val="right"/>
    </w:pPr>
    <w:r>
      <w:rPr>
        <w:b/>
        <w:sz w:val="24"/>
        <w:szCs w:val="24"/>
      </w:rPr>
      <w:fldChar w:fldCharType="begin"/>
    </w:r>
    <w:r>
      <w:rPr>
        <w:b/>
      </w:rPr>
      <w:instrText>PAGE</w:instrText>
    </w:r>
    <w:r>
      <w:rPr>
        <w:b/>
        <w:sz w:val="24"/>
        <w:szCs w:val="24"/>
      </w:rPr>
      <w:fldChar w:fldCharType="separate"/>
    </w:r>
    <w:r w:rsidR="00716EA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16EAA">
      <w:rPr>
        <w:b/>
        <w:noProof/>
      </w:rPr>
      <w:t>1</w:t>
    </w:r>
    <w:r>
      <w:rPr>
        <w:b/>
        <w:sz w:val="24"/>
        <w:szCs w:val="24"/>
      </w:rPr>
      <w:fldChar w:fldCharType="end"/>
    </w:r>
  </w:p>
  <w:p w:rsidR="0022524A" w:rsidRDefault="0022524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EAA" w:rsidRDefault="00716EAA">
      <w:r>
        <w:separator/>
      </w:r>
    </w:p>
  </w:footnote>
  <w:footnote w:type="continuationSeparator" w:id="0">
    <w:p w:rsidR="00716EAA" w:rsidRDefault="00716E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24A" w:rsidRDefault="0022524A">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24A" w:rsidRDefault="0022524A">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24A"/>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05C3"/>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1674"/>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16EAA"/>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42021"/>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F090B"/>
  <w15:docId w15:val="{FFF2BE6F-95AC-43F8-A686-0BB4BE6C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39DF5-1666-46EB-BBA2-3B8DC82F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585</Words>
  <Characters>3341</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5</cp:revision>
  <cp:lastPrinted>2022-09-30T03:49:00Z</cp:lastPrinted>
  <dcterms:created xsi:type="dcterms:W3CDTF">2023-07-11T03:55:00Z</dcterms:created>
  <dcterms:modified xsi:type="dcterms:W3CDTF">2023-10-20T01:58:00Z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